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063C1D">
      <w:pPr>
        <w:pStyle w:val="Cuerpo"/>
        <w:rPr>
          <w:rStyle w:val="Ninguno"/>
          <w:rFonts w:ascii="Arial Black" w:eastAsia="Arial Black" w:hAnsi="Arial Black" w:cs="Arial Black"/>
          <w:color w:val="008080"/>
          <w:sz w:val="28"/>
          <w:szCs w:val="28"/>
          <w:u w:color="008080"/>
        </w:rPr>
      </w:pPr>
      <w:r>
        <w:rPr>
          <w:noProof/>
        </w:rPr>
        <w:drawing>
          <wp:anchor distT="57150" distB="57150" distL="57150" distR="57150" simplePos="0" relativeHeight="251659264" behindDoc="0" locked="0" layoutInCell="1" allowOverlap="1">
            <wp:simplePos x="0" y="0"/>
            <wp:positionH relativeFrom="column">
              <wp:posOffset>1828800</wp:posOffset>
            </wp:positionH>
            <wp:positionV relativeFrom="line">
              <wp:posOffset>165734</wp:posOffset>
            </wp:positionV>
            <wp:extent cx="1699261" cy="1546861"/>
            <wp:effectExtent l="0" t="0" r="0" b="0"/>
            <wp:wrapSquare wrapText="bothSides" distT="57150" distB="57150" distL="57150" distR="57150"/>
            <wp:docPr id="1073741826" name="officeArt object" descr="Logo FEFE"/>
            <wp:cNvGraphicFramePr/>
            <a:graphic xmlns:a="http://schemas.openxmlformats.org/drawingml/2006/main">
              <a:graphicData uri="http://schemas.openxmlformats.org/drawingml/2006/picture">
                <pic:pic xmlns:pic="http://schemas.openxmlformats.org/drawingml/2006/picture">
                  <pic:nvPicPr>
                    <pic:cNvPr id="1073741826" name="Logo FEFE" descr="Logo FEFE"/>
                    <pic:cNvPicPr>
                      <a:picLocks noChangeAspect="1"/>
                    </pic:cNvPicPr>
                  </pic:nvPicPr>
                  <pic:blipFill>
                    <a:blip r:embed="rId8" cstate="print">
                      <a:extLst/>
                    </a:blip>
                    <a:stretch>
                      <a:fillRect/>
                    </a:stretch>
                  </pic:blipFill>
                  <pic:spPr>
                    <a:xfrm>
                      <a:off x="0" y="0"/>
                      <a:ext cx="1699261" cy="1546861"/>
                    </a:xfrm>
                    <a:prstGeom prst="rect">
                      <a:avLst/>
                    </a:prstGeom>
                    <a:ln w="12700" cap="flat">
                      <a:noFill/>
                      <a:miter lim="400000"/>
                    </a:ln>
                    <a:effectLst/>
                  </pic:spPr>
                </pic:pic>
              </a:graphicData>
            </a:graphic>
          </wp:anchor>
        </w:drawing>
      </w: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063C1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 xml:space="preserve">OBSERVATORIO </w:t>
      </w:r>
    </w:p>
    <w:p w:rsidR="007F59ED" w:rsidRDefault="00063C1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DEL</w:t>
      </w:r>
    </w:p>
    <w:p w:rsidR="007F59ED" w:rsidRDefault="00063C1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rPr>
        <w:t>MEDICAMENTO</w:t>
      </w: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right"/>
        <w:rPr>
          <w:rStyle w:val="Ninguno"/>
          <w:rFonts w:ascii="Arial Black" w:eastAsia="Arial Black" w:hAnsi="Arial Black" w:cs="Arial Black"/>
          <w:color w:val="008080"/>
          <w:u w:color="008080"/>
        </w:rPr>
      </w:pPr>
    </w:p>
    <w:p w:rsidR="007F59ED" w:rsidRDefault="007F59ED">
      <w:pPr>
        <w:pStyle w:val="Cuerpo"/>
        <w:jc w:val="right"/>
        <w:rPr>
          <w:rStyle w:val="Ninguno"/>
          <w:rFonts w:ascii="Arial Black" w:eastAsia="Arial Black" w:hAnsi="Arial Black" w:cs="Arial Black"/>
          <w:color w:val="008080"/>
          <w:u w:color="008080"/>
        </w:rPr>
      </w:pPr>
    </w:p>
    <w:p w:rsidR="007F59ED" w:rsidRDefault="007F59ED">
      <w:pPr>
        <w:pStyle w:val="Cuerpo"/>
        <w:jc w:val="right"/>
        <w:rPr>
          <w:rStyle w:val="Ninguno"/>
          <w:rFonts w:ascii="Arial Black" w:eastAsia="Arial Black" w:hAnsi="Arial Black" w:cs="Arial Black"/>
          <w:color w:val="008080"/>
          <w:u w:color="008080"/>
        </w:rPr>
      </w:pPr>
    </w:p>
    <w:p w:rsidR="007F59ED" w:rsidRDefault="00481B0D">
      <w:pPr>
        <w:pStyle w:val="Cuerpo"/>
        <w:jc w:val="right"/>
        <w:rPr>
          <w:rStyle w:val="Ninguno"/>
          <w:rFonts w:ascii="Arial Black" w:eastAsia="Arial Black" w:hAnsi="Arial Black" w:cs="Arial Black"/>
          <w:color w:val="008080"/>
          <w:u w:color="008080"/>
        </w:rPr>
      </w:pPr>
      <w:r>
        <w:rPr>
          <w:rStyle w:val="Ninguno"/>
          <w:rFonts w:ascii="Arial Black" w:hAnsi="Arial Black"/>
          <w:color w:val="008080"/>
          <w:u w:color="008080"/>
        </w:rPr>
        <w:t>Marzo</w:t>
      </w:r>
      <w:r w:rsidR="00063C1D">
        <w:rPr>
          <w:rStyle w:val="Ninguno"/>
          <w:rFonts w:ascii="Arial Black" w:hAnsi="Arial Black"/>
          <w:color w:val="008080"/>
          <w:u w:color="008080"/>
        </w:rPr>
        <w:t xml:space="preserve"> 2017</w:t>
      </w: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063C1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it-IT"/>
        </w:rPr>
        <w:lastRenderedPageBreak/>
        <w:t>Observatorio del Medicamento</w:t>
      </w:r>
    </w:p>
    <w:p w:rsidR="00DF19E7" w:rsidRDefault="00DF19E7">
      <w:pPr>
        <w:pStyle w:val="Cuerpo"/>
        <w:jc w:val="both"/>
        <w:rPr>
          <w:lang w:val="es-ES_tradnl"/>
        </w:rPr>
      </w:pPr>
    </w:p>
    <w:p w:rsidR="007F59ED" w:rsidRDefault="00063C1D">
      <w:pPr>
        <w:pStyle w:val="Cuerpo"/>
        <w:jc w:val="both"/>
      </w:pPr>
      <w:r>
        <w:rPr>
          <w:lang w:val="es-ES_tradnl"/>
        </w:rPr>
        <w:t>Los datos de consumo de medicamentos facilitados por el Ministerio de Sanidad, Servicios Sociales e Igualdad, que se dieron a conocer el d</w:t>
      </w:r>
      <w:r>
        <w:t>í</w:t>
      </w:r>
      <w:r w:rsidR="00876783">
        <w:rPr>
          <w:lang w:val="es-ES_tradnl"/>
        </w:rPr>
        <w:t>a 27</w:t>
      </w:r>
      <w:r>
        <w:rPr>
          <w:lang w:val="es-ES_tradnl"/>
        </w:rPr>
        <w:t xml:space="preserve"> de </w:t>
      </w:r>
      <w:r w:rsidR="00876783">
        <w:rPr>
          <w:lang w:val="es-ES_tradnl"/>
        </w:rPr>
        <w:t>abril</w:t>
      </w:r>
      <w:r>
        <w:rPr>
          <w:lang w:val="es-ES_tradnl"/>
        </w:rPr>
        <w:t xml:space="preserve">  de 2017, indican que en el mes de </w:t>
      </w:r>
      <w:r w:rsidR="000E799E">
        <w:rPr>
          <w:lang w:val="es-ES_tradnl"/>
        </w:rPr>
        <w:t>marzo</w:t>
      </w:r>
      <w:r>
        <w:rPr>
          <w:lang w:val="es-ES_tradnl"/>
        </w:rPr>
        <w:t xml:space="preserve"> se ha producido un </w:t>
      </w:r>
      <w:r w:rsidR="00D7768A">
        <w:rPr>
          <w:lang w:val="es-ES_tradnl"/>
        </w:rPr>
        <w:t>aumento</w:t>
      </w:r>
      <w:r>
        <w:rPr>
          <w:lang w:val="es-ES_tradnl"/>
        </w:rPr>
        <w:t xml:space="preserve"> del n</w:t>
      </w:r>
      <w:r>
        <w:t>ú</w:t>
      </w:r>
      <w:r>
        <w:rPr>
          <w:lang w:val="es-ES_tradnl"/>
        </w:rPr>
        <w:t xml:space="preserve">mero de recetas y gasto  que </w:t>
      </w:r>
      <w:r w:rsidR="00D7768A">
        <w:rPr>
          <w:lang w:val="es-ES_tradnl"/>
        </w:rPr>
        <w:t>compensa el importante descenso del mes de febrero</w:t>
      </w:r>
      <w:r w:rsidR="006E511D">
        <w:rPr>
          <w:lang w:val="es-ES_tradnl"/>
        </w:rPr>
        <w:t xml:space="preserve">. </w:t>
      </w:r>
      <w:r>
        <w:t xml:space="preserve"> </w:t>
      </w:r>
    </w:p>
    <w:p w:rsidR="007F59ED" w:rsidRDefault="007F59ED">
      <w:pPr>
        <w:pStyle w:val="Cuerpo"/>
        <w:jc w:val="both"/>
        <w:rPr>
          <w:rStyle w:val="Ninguno"/>
          <w:sz w:val="22"/>
          <w:szCs w:val="22"/>
        </w:rPr>
      </w:pPr>
    </w:p>
    <w:p w:rsidR="007F59ED" w:rsidRDefault="00063C1D">
      <w:pPr>
        <w:pStyle w:val="Cuerpo"/>
        <w:jc w:val="both"/>
      </w:pPr>
      <w:r>
        <w:rPr>
          <w:lang w:val="es-ES_tradnl"/>
        </w:rPr>
        <w:t>El gasto interanual  pasa de 9.</w:t>
      </w:r>
      <w:r w:rsidR="006E511D">
        <w:rPr>
          <w:lang w:val="es-ES_tradnl"/>
        </w:rPr>
        <w:t>609,8</w:t>
      </w:r>
      <w:r>
        <w:rPr>
          <w:lang w:val="es-ES_tradnl"/>
        </w:rPr>
        <w:t xml:space="preserve">  millones de euros en el año 2016 a </w:t>
      </w:r>
      <w:r w:rsidR="006E511D">
        <w:rPr>
          <w:lang w:val="es-ES_tradnl"/>
        </w:rPr>
        <w:t>10.000,8</w:t>
      </w:r>
      <w:r>
        <w:rPr>
          <w:lang w:val="es-ES_tradnl"/>
        </w:rPr>
        <w:t xml:space="preserve"> millones en el mes de </w:t>
      </w:r>
      <w:r w:rsidR="000E799E">
        <w:rPr>
          <w:lang w:val="es-ES_tradnl"/>
        </w:rPr>
        <w:t>Marzo</w:t>
      </w:r>
      <w:r>
        <w:rPr>
          <w:lang w:val="es-ES_tradnl"/>
        </w:rPr>
        <w:t xml:space="preserve"> del año 2017, lo que confirma que hasta este momento se est</w:t>
      </w:r>
      <w:r>
        <w:t xml:space="preserve">á </w:t>
      </w:r>
      <w:r>
        <w:rPr>
          <w:lang w:val="es-ES_tradnl"/>
        </w:rPr>
        <w:t>produciendo una recuperación del mercado, de forma persistente</w:t>
      </w:r>
      <w:r w:rsidR="006E511D">
        <w:rPr>
          <w:lang w:val="es-ES_tradnl"/>
        </w:rPr>
        <w:t>, aunque todavía faltarían más de 2.500 millones de euros para alcanzar el gasto de 2005</w:t>
      </w:r>
      <w:r>
        <w:rPr>
          <w:lang w:val="es-ES_tradnl"/>
        </w:rPr>
        <w:t>. El aumento actual de 3</w:t>
      </w:r>
      <w:r w:rsidR="006E511D">
        <w:rPr>
          <w:lang w:val="es-ES_tradnl"/>
        </w:rPr>
        <w:t>91</w:t>
      </w:r>
      <w:r>
        <w:rPr>
          <w:lang w:val="es-ES_tradnl"/>
        </w:rPr>
        <w:t xml:space="preserve"> millones</w:t>
      </w:r>
      <w:r w:rsidR="006E511D">
        <w:rPr>
          <w:lang w:val="es-ES_tradnl"/>
        </w:rPr>
        <w:t>, respecto al año anterior,</w:t>
      </w:r>
      <w:r>
        <w:rPr>
          <w:lang w:val="es-ES_tradnl"/>
        </w:rPr>
        <w:t xml:space="preserve"> solo se ha visto afectado por la modificación de los precios de referencia que act</w:t>
      </w:r>
      <w:r>
        <w:t>ú</w:t>
      </w:r>
      <w:r>
        <w:rPr>
          <w:lang w:val="es-ES_tradnl"/>
        </w:rPr>
        <w:t>an a partir del mes de octubre de 2016 y los cambios en la aportación de los beneficiarios implantados en algunas Comunidades Autó</w:t>
      </w:r>
      <w:r>
        <w:rPr>
          <w:lang w:val="pt-PT"/>
        </w:rPr>
        <w:t>nomas.</w:t>
      </w:r>
    </w:p>
    <w:p w:rsidR="007F59ED" w:rsidRDefault="007F59ED">
      <w:pPr>
        <w:pStyle w:val="Cuerpo"/>
        <w:jc w:val="both"/>
      </w:pPr>
    </w:p>
    <w:p w:rsidR="007F59ED" w:rsidRPr="00AE1AD1" w:rsidRDefault="00063C1D">
      <w:pPr>
        <w:pStyle w:val="Cuerpo"/>
        <w:jc w:val="both"/>
        <w:rPr>
          <w:rStyle w:val="Ninguno"/>
          <w:bCs/>
        </w:rPr>
      </w:pPr>
      <w:r w:rsidRPr="00AE1AD1">
        <w:rPr>
          <w:rStyle w:val="Ninguno"/>
          <w:bCs/>
        </w:rPr>
        <w:t>Sin embargo</w:t>
      </w:r>
      <w:r w:rsidR="006E511D" w:rsidRPr="00AE1AD1">
        <w:rPr>
          <w:rStyle w:val="Ninguno"/>
          <w:bCs/>
        </w:rPr>
        <w:t>, como venimos insistiendo,</w:t>
      </w:r>
      <w:r w:rsidRPr="00AE1AD1">
        <w:rPr>
          <w:rStyle w:val="Ninguno"/>
          <w:bCs/>
        </w:rPr>
        <w:t xml:space="preserve"> el consumo no crece, simplemente se recupera, ya que en 2009 fue de 12.505,6 millones de euros. Es decir al consumo en </w:t>
      </w:r>
      <w:r w:rsidR="000E799E" w:rsidRPr="00AE1AD1">
        <w:rPr>
          <w:rStyle w:val="Ninguno"/>
          <w:bCs/>
        </w:rPr>
        <w:t>marzo</w:t>
      </w:r>
      <w:r w:rsidRPr="00AE1AD1">
        <w:rPr>
          <w:rStyle w:val="Ninguno"/>
          <w:bCs/>
        </w:rPr>
        <w:t xml:space="preserve"> 2017 le faltan todavía 2.5</w:t>
      </w:r>
      <w:r w:rsidR="006E511D" w:rsidRPr="00AE1AD1">
        <w:rPr>
          <w:rStyle w:val="Ninguno"/>
          <w:bCs/>
        </w:rPr>
        <w:t>04,8</w:t>
      </w:r>
      <w:r w:rsidRPr="00AE1AD1">
        <w:rPr>
          <w:rStyle w:val="Ninguno"/>
          <w:bCs/>
        </w:rPr>
        <w:t xml:space="preserve"> millones para alcanzar el que </w:t>
      </w:r>
      <w:r w:rsidR="006E511D" w:rsidRPr="00AE1AD1">
        <w:rPr>
          <w:rStyle w:val="Ninguno"/>
          <w:bCs/>
        </w:rPr>
        <w:t>había en 2009 – un (20</w:t>
      </w:r>
      <w:r w:rsidRPr="00AE1AD1">
        <w:rPr>
          <w:rStyle w:val="Ninguno"/>
          <w:bCs/>
        </w:rPr>
        <w:t xml:space="preserve">%) </w:t>
      </w:r>
      <w:r w:rsidR="006E511D" w:rsidRPr="00AE1AD1">
        <w:rPr>
          <w:rStyle w:val="Ninguno"/>
          <w:bCs/>
        </w:rPr>
        <w:t>más</w:t>
      </w:r>
      <w:r w:rsidRPr="00AE1AD1">
        <w:rPr>
          <w:rStyle w:val="Ninguno"/>
          <w:bCs/>
        </w:rPr>
        <w:t xml:space="preserve"> - y si el aumento anual de los pró</w:t>
      </w:r>
      <w:r w:rsidRPr="00AE1AD1">
        <w:rPr>
          <w:rStyle w:val="Ninguno"/>
          <w:bCs/>
          <w:lang w:val="pt-PT"/>
        </w:rPr>
        <w:t>ximos a</w:t>
      </w:r>
      <w:r w:rsidRPr="00AE1AD1">
        <w:rPr>
          <w:rStyle w:val="Ninguno"/>
          <w:bCs/>
        </w:rPr>
        <w:t>ños es el mismo que en 2017, el mercado de 2009 se recuperara en el año 2023, dentro de siete añ</w:t>
      </w:r>
      <w:r w:rsidRPr="00AE1AD1">
        <w:rPr>
          <w:rStyle w:val="Ninguno"/>
          <w:bCs/>
          <w:lang w:val="pt-PT"/>
        </w:rPr>
        <w:t>os.</w:t>
      </w:r>
    </w:p>
    <w:p w:rsidR="007F59ED" w:rsidRPr="00AE1AD1" w:rsidRDefault="007F59ED">
      <w:pPr>
        <w:pStyle w:val="Cuerpo"/>
        <w:jc w:val="both"/>
        <w:rPr>
          <w:rStyle w:val="Ninguno"/>
          <w:bCs/>
        </w:rPr>
      </w:pPr>
    </w:p>
    <w:p w:rsidR="007F59ED" w:rsidRPr="00AE1AD1" w:rsidRDefault="00B452AD">
      <w:pPr>
        <w:pStyle w:val="Cuerpo"/>
        <w:jc w:val="both"/>
        <w:rPr>
          <w:rStyle w:val="Ninguno"/>
          <w:bCs/>
        </w:rPr>
      </w:pPr>
      <w:r w:rsidRPr="00AE1AD1">
        <w:rPr>
          <w:rStyle w:val="Ninguno"/>
          <w:bCs/>
        </w:rPr>
        <w:t>En este Observatorio se hace una revisión del mercado de genéricos basado en datos de QuintilesIMS llegando a la conclusión de que resulta urgente la adopción de una nueva política de precios de referencia y sustitución por el farmacéutico en la farmacia en caso de que se opte por un mayor desarrollo de este mercado.</w:t>
      </w:r>
      <w:r w:rsidR="00AE1AD1" w:rsidRPr="00AE1AD1">
        <w:rPr>
          <w:rStyle w:val="Ninguno"/>
          <w:bCs/>
        </w:rPr>
        <w:t xml:space="preserve"> El actual sistema de precios de referencia es excesivamente complejo y no proporciona posibilidades de competencia entre medicamentos genéricos y de marca. Una medida adecuada para hacer más competitivos los medicamentos genéricos sería la adopción del máximo precio financiado por el Sistema Nacional de Salud y la libertad de precios de todos los medicamentos incluidos en un conjunto</w:t>
      </w:r>
      <w:r w:rsidR="00AE1AD1">
        <w:rPr>
          <w:rStyle w:val="Ninguno"/>
          <w:bCs/>
        </w:rPr>
        <w:t>,</w:t>
      </w:r>
      <w:r w:rsidR="00AE1AD1" w:rsidRPr="00AE1AD1">
        <w:rPr>
          <w:rStyle w:val="Ninguno"/>
          <w:bCs/>
        </w:rPr>
        <w:t xml:space="preserve"> </w:t>
      </w:r>
      <w:r w:rsidR="00AE1AD1">
        <w:rPr>
          <w:rStyle w:val="Ninguno"/>
          <w:bCs/>
        </w:rPr>
        <w:t>que permita</w:t>
      </w:r>
      <w:r w:rsidR="00AE1AD1" w:rsidRPr="00AE1AD1">
        <w:rPr>
          <w:rStyle w:val="Ninguno"/>
          <w:bCs/>
        </w:rPr>
        <w:t xml:space="preserve"> la libre elección por los usuarios, pagando la diferencia.</w:t>
      </w:r>
    </w:p>
    <w:p w:rsidR="00B452AD" w:rsidRPr="00AE1AD1" w:rsidRDefault="00B452AD">
      <w:pPr>
        <w:pStyle w:val="Cuerpo"/>
        <w:jc w:val="both"/>
        <w:rPr>
          <w:rStyle w:val="Ninguno"/>
          <w:bCs/>
        </w:rPr>
      </w:pPr>
    </w:p>
    <w:p w:rsidR="00302285" w:rsidRPr="00AE1AD1" w:rsidRDefault="00B452AD">
      <w:pPr>
        <w:pStyle w:val="Cuerpo"/>
        <w:jc w:val="both"/>
        <w:rPr>
          <w:rStyle w:val="Ninguno"/>
          <w:bCs/>
        </w:rPr>
      </w:pPr>
      <w:r w:rsidRPr="00AE1AD1">
        <w:rPr>
          <w:rStyle w:val="Ninguno"/>
          <w:bCs/>
        </w:rPr>
        <w:t xml:space="preserve">También se analiza el mercado de medicamentos hospitalario, que es uno de los que presenta mayores crecimientos en los últimos años con la sorprendente </w:t>
      </w:r>
      <w:r w:rsidR="00AE1AD1" w:rsidRPr="00AE1AD1">
        <w:rPr>
          <w:rStyle w:val="Ninguno"/>
          <w:bCs/>
        </w:rPr>
        <w:t>constatación aportada por QuintilesIMS de que la mayoría de los medicamentos hospitalarios se dispensan a personas no hospitalizadas.</w:t>
      </w:r>
    </w:p>
    <w:p w:rsidR="007F59ED" w:rsidRPr="00AE1AD1" w:rsidRDefault="007F59ED">
      <w:pPr>
        <w:pStyle w:val="Cuerpo"/>
        <w:jc w:val="both"/>
        <w:rPr>
          <w:rStyle w:val="Ninguno"/>
          <w:bCs/>
        </w:rPr>
      </w:pPr>
    </w:p>
    <w:p w:rsidR="007F59ED" w:rsidRPr="00AE1AD1" w:rsidRDefault="00063C1D">
      <w:pPr>
        <w:pStyle w:val="Cuerpo"/>
        <w:jc w:val="both"/>
        <w:rPr>
          <w:rStyle w:val="Ninguno"/>
          <w:bCs/>
        </w:rPr>
      </w:pPr>
      <w:r w:rsidRPr="00AE1AD1">
        <w:rPr>
          <w:lang w:val="es-ES_tradnl"/>
        </w:rPr>
        <w:t xml:space="preserve">En cuanto a los </w:t>
      </w:r>
      <w:r w:rsidRPr="00AE1AD1">
        <w:rPr>
          <w:rStyle w:val="Ninguno"/>
          <w:bCs/>
        </w:rPr>
        <w:t>datos mensuales del gasto</w:t>
      </w:r>
      <w:r w:rsidRPr="00AE1AD1">
        <w:t xml:space="preserve"> </w:t>
      </w:r>
      <w:r w:rsidRPr="00AE1AD1">
        <w:rPr>
          <w:rStyle w:val="Ninguno"/>
          <w:bCs/>
        </w:rPr>
        <w:t xml:space="preserve">en </w:t>
      </w:r>
      <w:r w:rsidR="000E799E" w:rsidRPr="00AE1AD1">
        <w:rPr>
          <w:rStyle w:val="Ninguno"/>
          <w:bCs/>
        </w:rPr>
        <w:t>Marzo</w:t>
      </w:r>
      <w:r w:rsidRPr="00AE1AD1">
        <w:rPr>
          <w:rStyle w:val="Ninguno"/>
          <w:bCs/>
        </w:rPr>
        <w:t>,</w:t>
      </w:r>
      <w:r w:rsidRPr="00AE1AD1">
        <w:rPr>
          <w:lang w:val="es-ES_tradnl"/>
        </w:rPr>
        <w:t xml:space="preserve"> el n</w:t>
      </w:r>
      <w:r w:rsidRPr="00AE1AD1">
        <w:t>ú</w:t>
      </w:r>
      <w:r w:rsidRPr="00AE1AD1">
        <w:rPr>
          <w:lang w:val="es-ES_tradnl"/>
        </w:rPr>
        <w:t xml:space="preserve">mero de recetas alcanza una cifra de </w:t>
      </w:r>
      <w:r w:rsidR="00EA48D5" w:rsidRPr="00AE1AD1">
        <w:rPr>
          <w:lang w:val="es-ES_tradnl"/>
        </w:rPr>
        <w:t>81,9</w:t>
      </w:r>
      <w:r w:rsidRPr="00AE1AD1">
        <w:rPr>
          <w:lang w:val="es-ES_tradnl"/>
        </w:rPr>
        <w:t xml:space="preserve"> millones, lo que </w:t>
      </w:r>
      <w:r w:rsidRPr="00AE1AD1">
        <w:rPr>
          <w:rStyle w:val="Ninguno"/>
          <w:bCs/>
          <w:lang w:val="it-IT"/>
        </w:rPr>
        <w:t xml:space="preserve">representa un </w:t>
      </w:r>
      <w:r w:rsidR="00EA48D5" w:rsidRPr="00AE1AD1">
        <w:rPr>
          <w:rStyle w:val="Ninguno"/>
          <w:bCs/>
          <w:lang w:val="it-IT"/>
        </w:rPr>
        <w:t>aumento</w:t>
      </w:r>
      <w:r w:rsidRPr="00AE1AD1">
        <w:rPr>
          <w:rStyle w:val="Ninguno"/>
          <w:bCs/>
          <w:lang w:val="it-IT"/>
        </w:rPr>
        <w:t xml:space="preserve"> del </w:t>
      </w:r>
      <w:r w:rsidR="00EA48D5" w:rsidRPr="00AE1AD1">
        <w:rPr>
          <w:rStyle w:val="Ninguno"/>
          <w:bCs/>
          <w:lang w:val="it-IT"/>
        </w:rPr>
        <w:t>3,38</w:t>
      </w:r>
      <w:r w:rsidRPr="00AE1AD1">
        <w:rPr>
          <w:rStyle w:val="Ninguno"/>
          <w:bCs/>
          <w:lang w:val="it-IT"/>
        </w:rPr>
        <w:t xml:space="preserve"> %</w:t>
      </w:r>
      <w:r w:rsidRPr="00AE1AD1">
        <w:rPr>
          <w:lang w:val="es-ES_tradnl"/>
        </w:rPr>
        <w:t xml:space="preserve"> con respecto al mismo mes del año anterior, que fue de 7</w:t>
      </w:r>
      <w:r w:rsidR="00EA48D5" w:rsidRPr="00AE1AD1">
        <w:rPr>
          <w:lang w:val="es-ES_tradnl"/>
        </w:rPr>
        <w:t>9,2</w:t>
      </w:r>
      <w:r w:rsidRPr="00AE1AD1">
        <w:rPr>
          <w:lang w:val="es-ES_tradnl"/>
        </w:rPr>
        <w:t xml:space="preserve"> millones. El </w:t>
      </w:r>
      <w:r w:rsidRPr="00AE1AD1">
        <w:rPr>
          <w:rStyle w:val="Ninguno"/>
          <w:bCs/>
        </w:rPr>
        <w:t xml:space="preserve">gasto </w:t>
      </w:r>
      <w:r w:rsidR="00EA48D5" w:rsidRPr="00AE1AD1">
        <w:rPr>
          <w:rStyle w:val="Ninguno"/>
          <w:bCs/>
        </w:rPr>
        <w:t>aumenta</w:t>
      </w:r>
      <w:r w:rsidRPr="00AE1AD1">
        <w:rPr>
          <w:rStyle w:val="Ninguno"/>
          <w:bCs/>
        </w:rPr>
        <w:t xml:space="preserve"> un </w:t>
      </w:r>
      <w:r w:rsidR="00EA48D5" w:rsidRPr="00AE1AD1">
        <w:rPr>
          <w:rStyle w:val="Ninguno"/>
          <w:bCs/>
        </w:rPr>
        <w:t>5,87</w:t>
      </w:r>
      <w:r w:rsidRPr="00AE1AD1">
        <w:rPr>
          <w:rStyle w:val="Ninguno"/>
          <w:bCs/>
        </w:rPr>
        <w:t xml:space="preserve"> % </w:t>
      </w:r>
      <w:r w:rsidRPr="00AE1AD1">
        <w:rPr>
          <w:lang w:val="es-ES_tradnl"/>
        </w:rPr>
        <w:t xml:space="preserve">y, el </w:t>
      </w:r>
      <w:r w:rsidRPr="00AE1AD1">
        <w:rPr>
          <w:rStyle w:val="Ninguno"/>
          <w:bCs/>
        </w:rPr>
        <w:t>gasto medi</w:t>
      </w:r>
      <w:r w:rsidR="00DF19E7" w:rsidRPr="00AE1AD1">
        <w:rPr>
          <w:rStyle w:val="Ninguno"/>
          <w:bCs/>
        </w:rPr>
        <w:t>o por receta aumenta un +2,</w:t>
      </w:r>
      <w:r w:rsidR="00EA48D5" w:rsidRPr="00AE1AD1">
        <w:rPr>
          <w:rStyle w:val="Ninguno"/>
          <w:bCs/>
        </w:rPr>
        <w:t>41</w:t>
      </w:r>
      <w:r w:rsidR="00DF19E7" w:rsidRPr="00AE1AD1">
        <w:rPr>
          <w:rStyle w:val="Ninguno"/>
          <w:bCs/>
        </w:rPr>
        <w:t xml:space="preserve"> %.</w:t>
      </w:r>
      <w:r w:rsidRPr="00AE1AD1">
        <w:rPr>
          <w:rStyle w:val="Ninguno"/>
          <w:bCs/>
        </w:rPr>
        <w:t xml:space="preserve"> </w:t>
      </w:r>
    </w:p>
    <w:p w:rsidR="007F59ED" w:rsidRPr="00AE1AD1" w:rsidRDefault="007F59ED">
      <w:pPr>
        <w:pStyle w:val="Cuerpo"/>
        <w:jc w:val="both"/>
        <w:rPr>
          <w:rStyle w:val="Ninguno"/>
          <w:bCs/>
        </w:rPr>
      </w:pPr>
    </w:p>
    <w:p w:rsidR="007F59ED" w:rsidRPr="00AE1AD1" w:rsidRDefault="00063C1D">
      <w:pPr>
        <w:pStyle w:val="Cuerpo"/>
        <w:jc w:val="both"/>
        <w:rPr>
          <w:rStyle w:val="Ninguno"/>
          <w:bCs/>
        </w:rPr>
      </w:pPr>
      <w:r w:rsidRPr="00AE1AD1">
        <w:rPr>
          <w:rStyle w:val="Ninguno"/>
          <w:bCs/>
        </w:rPr>
        <w:t>En cuanto al acumulado de los dos primeros meses del año se producen aumentos en los tres indicadores tal como aparece en la siguiente tabla.</w:t>
      </w:r>
    </w:p>
    <w:p w:rsidR="007F59ED" w:rsidRPr="00AE1AD1" w:rsidRDefault="007F59ED">
      <w:pPr>
        <w:pStyle w:val="Cuerpo"/>
        <w:jc w:val="both"/>
        <w:rPr>
          <w:rStyle w:val="Ninguno"/>
          <w:bCs/>
        </w:rPr>
      </w:pPr>
    </w:p>
    <w:p w:rsidR="007F59ED" w:rsidRDefault="007F59ED">
      <w:pPr>
        <w:pStyle w:val="Cuerpo"/>
      </w:pPr>
    </w:p>
    <w:p w:rsidR="007F59ED" w:rsidRDefault="007F59ED">
      <w:pPr>
        <w:pStyle w:val="Cuerpo"/>
      </w:pPr>
    </w:p>
    <w:p w:rsidR="007F59ED" w:rsidRDefault="007F59ED">
      <w:pPr>
        <w:pStyle w:val="Cuerpo"/>
      </w:pPr>
    </w:p>
    <w:p w:rsidR="00876783" w:rsidRDefault="00876783">
      <w:pPr>
        <w:pStyle w:val="Cuerpo"/>
        <w:rPr>
          <w:rStyle w:val="Ninguno"/>
          <w:rFonts w:eastAsia="Arial Unicode MS" w:cs="Arial Unicode MS"/>
          <w:b/>
          <w:bCs/>
          <w:lang w:val="de-DE"/>
        </w:rPr>
      </w:pPr>
    </w:p>
    <w:p w:rsidR="007F59ED" w:rsidRDefault="00063C1D">
      <w:pPr>
        <w:pStyle w:val="Cuerpo"/>
        <w:rPr>
          <w:rStyle w:val="Ninguno"/>
          <w:b/>
          <w:bCs/>
        </w:rPr>
      </w:pPr>
      <w:r>
        <w:rPr>
          <w:rStyle w:val="Ninguno"/>
          <w:rFonts w:eastAsia="Arial Unicode MS" w:cs="Arial Unicode MS"/>
          <w:b/>
          <w:bCs/>
          <w:lang w:val="de-DE"/>
        </w:rPr>
        <w:t>ACUMULADO ENERO-</w:t>
      </w:r>
      <w:r w:rsidR="000E799E">
        <w:rPr>
          <w:rStyle w:val="Ninguno"/>
          <w:rFonts w:eastAsia="Arial Unicode MS" w:cs="Arial Unicode MS"/>
          <w:b/>
          <w:bCs/>
          <w:lang w:val="de-DE"/>
        </w:rPr>
        <w:t>MARZO</w:t>
      </w:r>
    </w:p>
    <w:p w:rsidR="007F59ED" w:rsidRDefault="007F59ED">
      <w:pPr>
        <w:pStyle w:val="Cuerpo"/>
      </w:pPr>
    </w:p>
    <w:tbl>
      <w:tblPr>
        <w:tblW w:w="8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140"/>
        <w:gridCol w:w="1985"/>
        <w:gridCol w:w="1984"/>
        <w:gridCol w:w="1721"/>
      </w:tblGrid>
      <w:tr w:rsidR="00302285" w:rsidTr="00DD770C">
        <w:trPr>
          <w:trHeight w:val="287"/>
        </w:trPr>
        <w:tc>
          <w:tcPr>
            <w:tcW w:w="8830" w:type="dxa"/>
            <w:gridSpan w:val="4"/>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302285" w:rsidRDefault="00302285" w:rsidP="00DD770C">
            <w:pPr>
              <w:pStyle w:val="Cuerpo"/>
              <w:jc w:val="center"/>
            </w:pPr>
            <w:r w:rsidRPr="00681DD9">
              <w:rPr>
                <w:rStyle w:val="Ninguno"/>
                <w:b/>
                <w:bCs/>
                <w:color w:val="FFFFFF"/>
                <w:u w:color="FFFFFF"/>
              </w:rPr>
              <w:t>Comparación de los doce meses de los años 2015 y 2016</w:t>
            </w:r>
          </w:p>
        </w:tc>
      </w:tr>
      <w:tr w:rsidR="00302285" w:rsidTr="00DD770C">
        <w:trPr>
          <w:trHeight w:val="567"/>
        </w:trPr>
        <w:tc>
          <w:tcPr>
            <w:tcW w:w="3140"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302285" w:rsidRDefault="00302285" w:rsidP="00DD770C">
            <w:pPr>
              <w:pStyle w:val="Cuerpo"/>
            </w:pPr>
            <w:r w:rsidRPr="00681DD9">
              <w:rPr>
                <w:rStyle w:val="Ninguno"/>
                <w:b/>
                <w:bCs/>
                <w:color w:val="FFFFFF"/>
                <w:u w:color="FFFFFF"/>
              </w:rPr>
              <w:t>Indicador</w:t>
            </w:r>
          </w:p>
        </w:tc>
        <w:tc>
          <w:tcPr>
            <w:tcW w:w="1985"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302285" w:rsidRDefault="00302285" w:rsidP="00DD770C">
            <w:pPr>
              <w:pStyle w:val="Cuerpo"/>
              <w:jc w:val="center"/>
            </w:pPr>
            <w:r w:rsidRPr="00681DD9">
              <w:rPr>
                <w:rStyle w:val="Ninguno"/>
                <w:b/>
                <w:bCs/>
                <w:color w:val="FFFFFF"/>
                <w:u w:color="FFFFFF"/>
              </w:rPr>
              <w:t>2016</w:t>
            </w:r>
          </w:p>
        </w:tc>
        <w:tc>
          <w:tcPr>
            <w:tcW w:w="1984"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302285" w:rsidRDefault="00302285" w:rsidP="00DD770C">
            <w:pPr>
              <w:pStyle w:val="Cuerpo"/>
              <w:jc w:val="center"/>
            </w:pPr>
            <w:r w:rsidRPr="00681DD9">
              <w:rPr>
                <w:rStyle w:val="Ninguno"/>
                <w:b/>
                <w:bCs/>
                <w:color w:val="FFFFFF"/>
                <w:u w:color="FFFFFF"/>
              </w:rPr>
              <w:t>2017</w:t>
            </w:r>
          </w:p>
        </w:tc>
        <w:tc>
          <w:tcPr>
            <w:tcW w:w="1721"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302285" w:rsidRDefault="00302285" w:rsidP="00DD770C">
            <w:pPr>
              <w:pStyle w:val="Cuerpo"/>
              <w:jc w:val="center"/>
            </w:pPr>
            <w:r w:rsidRPr="00681DD9">
              <w:rPr>
                <w:rStyle w:val="Ninguno"/>
                <w:b/>
                <w:bCs/>
                <w:color w:val="FFFFFF"/>
                <w:u w:color="FFFFFF"/>
              </w:rPr>
              <w:t>% incremento</w:t>
            </w:r>
          </w:p>
        </w:tc>
      </w:tr>
      <w:tr w:rsidR="00302285" w:rsidTr="00DD770C">
        <w:trPr>
          <w:trHeight w:val="353"/>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302285" w:rsidRDefault="00302285" w:rsidP="00DD770C">
            <w:pPr>
              <w:pStyle w:val="Cuerpo"/>
              <w:jc w:val="both"/>
            </w:pPr>
            <w:r w:rsidRPr="00681DD9">
              <w:rPr>
                <w:rStyle w:val="Ninguno"/>
                <w:b/>
                <w:bCs/>
                <w:color w:val="FFFFFF"/>
                <w:u w:color="FFFFFF"/>
              </w:rPr>
              <w:t>Número de recetas</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302285" w:rsidRPr="009367D8" w:rsidRDefault="00302285" w:rsidP="00DD770C">
            <w:pPr>
              <w:pStyle w:val="Cuerpo"/>
              <w:jc w:val="center"/>
            </w:pPr>
            <w:r w:rsidRPr="009367D8">
              <w:t>227.059.781</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302285" w:rsidRPr="009367D8" w:rsidRDefault="00302285" w:rsidP="00DD770C">
            <w:pPr>
              <w:pStyle w:val="Cuerpo"/>
              <w:jc w:val="center"/>
            </w:pPr>
            <w:r w:rsidRPr="009367D8">
              <w:t>231.362.996</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302285" w:rsidRDefault="00302285" w:rsidP="00DD770C">
            <w:pPr>
              <w:pStyle w:val="Cuerpo"/>
              <w:jc w:val="center"/>
            </w:pPr>
            <w:r w:rsidRPr="00681DD9">
              <w:rPr>
                <w:rStyle w:val="Ninguno"/>
                <w:b/>
                <w:bCs/>
              </w:rPr>
              <w:t>1,</w:t>
            </w:r>
            <w:r>
              <w:rPr>
                <w:rStyle w:val="Ninguno"/>
                <w:b/>
                <w:bCs/>
              </w:rPr>
              <w:t>90</w:t>
            </w:r>
          </w:p>
        </w:tc>
      </w:tr>
      <w:tr w:rsidR="00302285" w:rsidTr="00DD770C">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302285" w:rsidRDefault="00302285" w:rsidP="00DD770C">
            <w:pPr>
              <w:pStyle w:val="Cuerpo"/>
              <w:jc w:val="both"/>
            </w:pPr>
            <w:r w:rsidRPr="00681DD9">
              <w:rPr>
                <w:rStyle w:val="Ninguno"/>
                <w:b/>
                <w:bCs/>
                <w:color w:val="FFFFFF"/>
                <w:u w:color="FFFFFF"/>
              </w:rPr>
              <w:t xml:space="preserve">Gasto </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302285" w:rsidRPr="009367D8" w:rsidRDefault="00302285" w:rsidP="00DD770C">
            <w:pPr>
              <w:pStyle w:val="Cuerpo"/>
              <w:jc w:val="center"/>
            </w:pPr>
            <w:r w:rsidRPr="009367D8">
              <w:t>2.448.900.804</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302285" w:rsidRPr="009367D8" w:rsidRDefault="00302285" w:rsidP="00DD770C">
            <w:pPr>
              <w:pStyle w:val="Cuerpo"/>
              <w:jc w:val="center"/>
            </w:pPr>
            <w:r w:rsidRPr="009367D8">
              <w:t>2.537.023.777</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302285" w:rsidRDefault="00302285" w:rsidP="00DD770C">
            <w:pPr>
              <w:pStyle w:val="Cuerpo"/>
              <w:jc w:val="center"/>
            </w:pPr>
            <w:r>
              <w:rPr>
                <w:rStyle w:val="Ninguno"/>
                <w:b/>
                <w:bCs/>
              </w:rPr>
              <w:t>3,60</w:t>
            </w:r>
          </w:p>
        </w:tc>
      </w:tr>
      <w:tr w:rsidR="00302285" w:rsidTr="00DD770C">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302285" w:rsidRDefault="00302285" w:rsidP="00DD770C">
            <w:pPr>
              <w:pStyle w:val="Cuerpo"/>
              <w:jc w:val="both"/>
            </w:pPr>
            <w:r w:rsidRPr="00681DD9">
              <w:rPr>
                <w:rStyle w:val="Ninguno"/>
                <w:b/>
                <w:bCs/>
                <w:color w:val="FFFFFF"/>
                <w:u w:color="FFFFFF"/>
              </w:rPr>
              <w:t>Gasto medio por receta</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302285" w:rsidRDefault="00302285" w:rsidP="00DD770C">
            <w:pPr>
              <w:pStyle w:val="Cuerpo"/>
              <w:jc w:val="center"/>
            </w:pPr>
            <w:r>
              <w:rPr>
                <w:rStyle w:val="Ninguno"/>
              </w:rPr>
              <w:t>10,79</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302285" w:rsidRDefault="00302285" w:rsidP="00DD770C">
            <w:pPr>
              <w:pStyle w:val="Cuerpo"/>
              <w:jc w:val="center"/>
            </w:pPr>
            <w:r>
              <w:rPr>
                <w:rStyle w:val="Ninguno"/>
              </w:rPr>
              <w:t>10,97</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tcPr>
          <w:p w:rsidR="00302285" w:rsidRDefault="00302285" w:rsidP="00DD770C">
            <w:pPr>
              <w:pStyle w:val="Cuerpo"/>
              <w:jc w:val="center"/>
            </w:pPr>
            <w:r w:rsidRPr="00681DD9">
              <w:rPr>
                <w:rStyle w:val="Ninguno"/>
                <w:b/>
                <w:bCs/>
              </w:rPr>
              <w:t>1,</w:t>
            </w:r>
            <w:r>
              <w:rPr>
                <w:rStyle w:val="Ninguno"/>
                <w:b/>
                <w:bCs/>
              </w:rPr>
              <w:t>67</w:t>
            </w:r>
          </w:p>
        </w:tc>
      </w:tr>
    </w:tbl>
    <w:p w:rsidR="007F59ED" w:rsidRDefault="007F59ED">
      <w:pPr>
        <w:pStyle w:val="Cuerpo"/>
      </w:pPr>
    </w:p>
    <w:p w:rsidR="007F59ED" w:rsidRDefault="007F59ED">
      <w:pPr>
        <w:pStyle w:val="Cuerpo"/>
        <w:widowControl w:val="0"/>
      </w:pPr>
    </w:p>
    <w:p w:rsidR="007F59ED" w:rsidRDefault="007F59ED">
      <w:pPr>
        <w:pStyle w:val="Cuerpo"/>
      </w:pPr>
    </w:p>
    <w:p w:rsidR="007F59ED" w:rsidRDefault="00063C1D">
      <w:pPr>
        <w:pStyle w:val="Cuerpo"/>
        <w:jc w:val="both"/>
        <w:rPr>
          <w:rStyle w:val="Ninguno"/>
          <w:rFonts w:ascii="Arial Black" w:hAnsi="Arial Black"/>
          <w:color w:val="4BACC6"/>
          <w:u w:color="4BACC6"/>
          <w:lang w:val="pt-PT"/>
        </w:rPr>
      </w:pPr>
      <w:r>
        <w:rPr>
          <w:rStyle w:val="Ninguno"/>
          <w:rFonts w:ascii="Arial Black" w:hAnsi="Arial Black"/>
          <w:color w:val="4BACC6"/>
          <w:u w:color="4BACC6"/>
        </w:rPr>
        <w:t>Evolución de la Facturación de recetas en los ú</w:t>
      </w:r>
      <w:r>
        <w:rPr>
          <w:rStyle w:val="Ninguno"/>
          <w:rFonts w:ascii="Arial Black" w:hAnsi="Arial Black"/>
          <w:color w:val="4BACC6"/>
          <w:u w:color="4BACC6"/>
          <w:lang w:val="pt-PT"/>
        </w:rPr>
        <w:t>ltimos doce meses</w:t>
      </w:r>
    </w:p>
    <w:p w:rsidR="00063C1D" w:rsidRDefault="00063C1D">
      <w:pPr>
        <w:pStyle w:val="Cuerpo"/>
        <w:jc w:val="both"/>
        <w:rPr>
          <w:rStyle w:val="Ninguno"/>
          <w:rFonts w:ascii="Arial Black" w:eastAsia="Arial Black" w:hAnsi="Arial Black" w:cs="Arial Black"/>
          <w:color w:val="4BACC6"/>
          <w:u w:color="4BACC6"/>
        </w:rPr>
      </w:pPr>
    </w:p>
    <w:p w:rsidR="00DC0318" w:rsidRDefault="00302285">
      <w:pPr>
        <w:pStyle w:val="Cuerpo"/>
        <w:jc w:val="both"/>
        <w:rPr>
          <w:rStyle w:val="Ninguno"/>
          <w:rFonts w:ascii="Arial Black" w:eastAsia="Arial Black" w:hAnsi="Arial Black" w:cs="Arial Black"/>
          <w:color w:val="4BACC6"/>
          <w:u w:color="4BACC6"/>
        </w:rPr>
      </w:pPr>
      <w:r>
        <w:rPr>
          <w:rFonts w:ascii="Arial Black" w:eastAsia="Arial Black" w:hAnsi="Arial Black" w:cs="Arial Black"/>
          <w:noProof/>
          <w:color w:val="4BACC6"/>
          <w:u w:color="4BACC6"/>
        </w:rPr>
        <w:drawing>
          <wp:inline distT="0" distB="0" distL="0" distR="0">
            <wp:extent cx="5638165" cy="456184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165" cy="4561840"/>
                    </a:xfrm>
                    <a:prstGeom prst="rect">
                      <a:avLst/>
                    </a:prstGeom>
                    <a:noFill/>
                  </pic:spPr>
                </pic:pic>
              </a:graphicData>
            </a:graphic>
          </wp:inline>
        </w:drawing>
      </w:r>
    </w:p>
    <w:p w:rsidR="007F59ED" w:rsidRDefault="007F59ED">
      <w:pPr>
        <w:pStyle w:val="Cuerpo"/>
        <w:jc w:val="both"/>
        <w:rPr>
          <w:rStyle w:val="Ninguno"/>
          <w:rFonts w:ascii="Arial Black" w:eastAsia="Arial Black" w:hAnsi="Arial Black" w:cs="Arial Black"/>
          <w:color w:val="4BACC6"/>
          <w:u w:color="4BACC6"/>
        </w:rPr>
      </w:pPr>
    </w:p>
    <w:p w:rsidR="007F59ED" w:rsidRDefault="00063C1D">
      <w:pPr>
        <w:pStyle w:val="Cuerpo"/>
        <w:rPr>
          <w:rStyle w:val="Ninguno"/>
          <w:rFonts w:ascii="Arial Black" w:eastAsia="Arial Black" w:hAnsi="Arial Black" w:cs="Arial Black"/>
          <w:color w:val="008080"/>
          <w:u w:color="008080"/>
        </w:rPr>
      </w:pPr>
      <w:r>
        <w:rPr>
          <w:rStyle w:val="Ninguno"/>
          <w:rFonts w:ascii="Arial Black" w:hAnsi="Arial Black"/>
          <w:color w:val="008080"/>
          <w:u w:color="008080"/>
        </w:rPr>
        <w:lastRenderedPageBreak/>
        <w:t>Tendencia logarí</w:t>
      </w:r>
      <w:r>
        <w:rPr>
          <w:rStyle w:val="Ninguno"/>
          <w:rFonts w:ascii="Arial Black" w:hAnsi="Arial Black"/>
          <w:color w:val="008080"/>
          <w:u w:color="008080"/>
          <w:lang w:val="it-IT"/>
        </w:rPr>
        <w:t>tmica</w:t>
      </w:r>
    </w:p>
    <w:p w:rsidR="007F59ED" w:rsidRDefault="007F59ED">
      <w:pPr>
        <w:pStyle w:val="Cuerpo"/>
        <w:jc w:val="both"/>
      </w:pPr>
    </w:p>
    <w:p w:rsidR="007F59ED" w:rsidRDefault="00063C1D">
      <w:pPr>
        <w:pStyle w:val="Cuerpo"/>
        <w:jc w:val="both"/>
        <w:rPr>
          <w:lang w:val="es-ES_tradnl"/>
        </w:rPr>
      </w:pPr>
      <w:r>
        <w:rPr>
          <w:rStyle w:val="Ninguno"/>
          <w:b/>
          <w:bCs/>
        </w:rPr>
        <w:t>En la</w:t>
      </w:r>
      <w:r>
        <w:t xml:space="preserve"> </w:t>
      </w:r>
      <w:r w:rsidR="00AE1AD1">
        <w:t>evolución del</w:t>
      </w:r>
      <w:r>
        <w:rPr>
          <w:rStyle w:val="Ninguno"/>
          <w:b/>
          <w:bCs/>
        </w:rPr>
        <w:t xml:space="preserve"> gasto se aprecia que se ha producido una variación de la tendencia, influida por los datos del mes de </w:t>
      </w:r>
      <w:r w:rsidR="000E799E">
        <w:rPr>
          <w:rStyle w:val="Ninguno"/>
          <w:b/>
          <w:bCs/>
        </w:rPr>
        <w:t>Marzo</w:t>
      </w:r>
      <w:r>
        <w:rPr>
          <w:rStyle w:val="Ninguno"/>
          <w:b/>
          <w:bCs/>
        </w:rPr>
        <w:t>, aunque nuestra previsión</w:t>
      </w:r>
      <w:r w:rsidR="00AE1AD1">
        <w:rPr>
          <w:rStyle w:val="Ninguno"/>
          <w:b/>
          <w:bCs/>
        </w:rPr>
        <w:t xml:space="preserve"> es de estabilidad o ligero decrecimiento para abril.</w:t>
      </w:r>
      <w:r>
        <w:rPr>
          <w:lang w:val="es-ES_tradnl"/>
        </w:rPr>
        <w:t xml:space="preserve"> </w:t>
      </w:r>
    </w:p>
    <w:p w:rsidR="00DF19E7" w:rsidRDefault="00DF19E7">
      <w:pPr>
        <w:pStyle w:val="Cuerpo"/>
        <w:jc w:val="both"/>
        <w:rPr>
          <w:rStyle w:val="Ninguno"/>
          <w:b/>
          <w:bCs/>
        </w:rPr>
      </w:pPr>
    </w:p>
    <w:p w:rsidR="007F59ED" w:rsidRDefault="00063C1D">
      <w:pPr>
        <w:pStyle w:val="Cuerpo"/>
        <w:jc w:val="both"/>
      </w:pPr>
      <w:r>
        <w:rPr>
          <w:lang w:val="es-ES_tradnl"/>
        </w:rPr>
        <w:t xml:space="preserve">Las previsiones a corto plazo muestran que, aunque </w:t>
      </w:r>
      <w:r w:rsidR="00AE1AD1">
        <w:rPr>
          <w:lang w:val="es-ES_tradnl"/>
        </w:rPr>
        <w:t xml:space="preserve">aumenta </w:t>
      </w:r>
      <w:r>
        <w:rPr>
          <w:lang w:val="es-ES_tradnl"/>
        </w:rPr>
        <w:t xml:space="preserve">el gasto en el momento actual, </w:t>
      </w:r>
      <w:r w:rsidR="00AE1AD1">
        <w:rPr>
          <w:lang w:val="es-ES_tradnl"/>
        </w:rPr>
        <w:t xml:space="preserve">y puede haber decrecimientos algunos meses, </w:t>
      </w:r>
      <w:r>
        <w:rPr>
          <w:lang w:val="es-ES_tradnl"/>
        </w:rPr>
        <w:t>el acumulado y en el interanual son positivos.</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Objetivamente se puede afirmar que la Orden de Precios de Referencia del año 2016 va a tener una baja incidencia sobre el 2017. Sin embargo, otros factores de carácter estacional, juntamente con algunas medidas de carácter local relacionadas con la aportación de los beneficiarios, parecen estar influyendo en el consumo, particularmente en el nú</w:t>
      </w:r>
      <w:r>
        <w:rPr>
          <w:rStyle w:val="Ninguno"/>
          <w:b/>
          <w:bCs/>
          <w:lang w:val="pt-PT"/>
        </w:rPr>
        <w:t>mero de recetas.</w:t>
      </w:r>
    </w:p>
    <w:p w:rsidR="007F59ED" w:rsidRDefault="007F59ED">
      <w:pPr>
        <w:pStyle w:val="Cuerpo"/>
        <w:jc w:val="both"/>
      </w:pPr>
    </w:p>
    <w:p w:rsidR="00DF19E7" w:rsidRDefault="00DF19E7">
      <w:pPr>
        <w:pStyle w:val="Cuerpo"/>
        <w:jc w:val="both"/>
        <w:rPr>
          <w:rStyle w:val="Ninguno"/>
          <w:b/>
          <w:bCs/>
        </w:rPr>
      </w:pPr>
    </w:p>
    <w:p w:rsidR="007F59ED" w:rsidRDefault="00063C1D">
      <w:pPr>
        <w:pStyle w:val="Cuerpo"/>
        <w:jc w:val="both"/>
        <w:rPr>
          <w:rStyle w:val="Ninguno"/>
          <w:b/>
          <w:bCs/>
          <w:sz w:val="22"/>
          <w:szCs w:val="22"/>
        </w:rPr>
      </w:pPr>
      <w:r>
        <w:rPr>
          <w:rStyle w:val="Ninguno"/>
          <w:b/>
          <w:bCs/>
        </w:rPr>
        <w:t>TENDENCIA LOGARÍ</w:t>
      </w:r>
      <w:r>
        <w:rPr>
          <w:rStyle w:val="Ninguno"/>
          <w:b/>
          <w:bCs/>
          <w:lang w:val="pt-PT"/>
        </w:rPr>
        <w:t xml:space="preserve">TMICA </w:t>
      </w:r>
      <w:r>
        <w:rPr>
          <w:rStyle w:val="Ninguno"/>
          <w:b/>
          <w:bCs/>
          <w:sz w:val="22"/>
          <w:szCs w:val="22"/>
        </w:rPr>
        <w:t xml:space="preserve">(Proyección de 2 periodos hasta </w:t>
      </w:r>
      <w:r w:rsidR="009476E7">
        <w:rPr>
          <w:rStyle w:val="Ninguno"/>
          <w:b/>
          <w:bCs/>
          <w:sz w:val="22"/>
          <w:szCs w:val="22"/>
        </w:rPr>
        <w:t>mayo</w:t>
      </w:r>
      <w:r>
        <w:rPr>
          <w:rStyle w:val="Ninguno"/>
          <w:b/>
          <w:bCs/>
          <w:sz w:val="22"/>
          <w:szCs w:val="22"/>
        </w:rPr>
        <w:t xml:space="preserve"> de 2017)</w:t>
      </w:r>
    </w:p>
    <w:p w:rsidR="007F59ED" w:rsidRDefault="007F59ED">
      <w:pPr>
        <w:pStyle w:val="Cuerpo"/>
        <w:jc w:val="both"/>
        <w:rPr>
          <w:rStyle w:val="Ninguno"/>
          <w:b/>
          <w:bCs/>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302285">
      <w:pPr>
        <w:pStyle w:val="Cuerpo"/>
        <w:rPr>
          <w:rStyle w:val="Ninguno"/>
          <w:rFonts w:ascii="Arial Black" w:eastAsia="Arial Black" w:hAnsi="Arial Black" w:cs="Arial Black"/>
          <w:color w:val="008080"/>
          <w:sz w:val="28"/>
          <w:szCs w:val="28"/>
          <w:u w:color="008080"/>
        </w:rPr>
      </w:pPr>
      <w:r>
        <w:rPr>
          <w:rFonts w:ascii="Arial Black" w:eastAsia="Arial Black" w:hAnsi="Arial Black" w:cs="Arial Black"/>
          <w:noProof/>
          <w:color w:val="008080"/>
          <w:sz w:val="28"/>
          <w:szCs w:val="28"/>
          <w:u w:color="008080"/>
        </w:rPr>
        <w:drawing>
          <wp:inline distT="0" distB="0" distL="0" distR="0">
            <wp:extent cx="5638165" cy="433324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165" cy="4333240"/>
                    </a:xfrm>
                    <a:prstGeom prst="rect">
                      <a:avLst/>
                    </a:prstGeom>
                    <a:noFill/>
                  </pic:spPr>
                </pic:pic>
              </a:graphicData>
            </a:graphic>
          </wp:inline>
        </w:drawing>
      </w:r>
    </w:p>
    <w:p w:rsidR="000E799E" w:rsidRDefault="000E799E">
      <w:pPr>
        <w:pStyle w:val="Cuerpo"/>
        <w:rPr>
          <w:rStyle w:val="Ninguno"/>
          <w:rFonts w:ascii="Arial Black" w:hAnsi="Arial Black"/>
          <w:color w:val="008080"/>
          <w:sz w:val="28"/>
          <w:szCs w:val="28"/>
          <w:u w:color="008080"/>
          <w:lang w:val="pt-PT"/>
        </w:rPr>
      </w:pPr>
    </w:p>
    <w:p w:rsidR="00302285" w:rsidRDefault="00302285">
      <w:pPr>
        <w:pStyle w:val="Cuerpo"/>
        <w:rPr>
          <w:rStyle w:val="Ninguno"/>
          <w:rFonts w:ascii="Arial Black" w:hAnsi="Arial Black"/>
          <w:color w:val="008080"/>
          <w:sz w:val="28"/>
          <w:szCs w:val="28"/>
          <w:u w:color="008080"/>
          <w:lang w:val="pt-PT"/>
        </w:rPr>
      </w:pPr>
    </w:p>
    <w:p w:rsidR="007F59ED" w:rsidRDefault="00063C1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pt-PT"/>
        </w:rPr>
        <w:lastRenderedPageBreak/>
        <w:t xml:space="preserve">Gasto por Comunidades </w:t>
      </w:r>
      <w:r>
        <w:rPr>
          <w:rStyle w:val="Ninguno"/>
          <w:rFonts w:ascii="Arial Black" w:hAnsi="Arial Black"/>
          <w:color w:val="31849B"/>
          <w:sz w:val="28"/>
          <w:szCs w:val="28"/>
          <w:u w:color="31849B"/>
        </w:rPr>
        <w:t>Autónomas</w:t>
      </w:r>
    </w:p>
    <w:p w:rsidR="007F59ED" w:rsidRDefault="007F59ED">
      <w:pPr>
        <w:pStyle w:val="Cuerpo"/>
      </w:pPr>
    </w:p>
    <w:p w:rsidR="007F59ED" w:rsidRDefault="00063C1D">
      <w:pPr>
        <w:pStyle w:val="Cuerpo"/>
        <w:jc w:val="both"/>
        <w:rPr>
          <w:rStyle w:val="Ninguno"/>
          <w:b/>
          <w:bCs/>
        </w:rPr>
      </w:pPr>
      <w:r>
        <w:rPr>
          <w:rStyle w:val="Ninguno"/>
          <w:b/>
          <w:bCs/>
        </w:rPr>
        <w:t xml:space="preserve">En </w:t>
      </w:r>
      <w:r w:rsidR="000E799E">
        <w:rPr>
          <w:rStyle w:val="Ninguno"/>
          <w:b/>
          <w:bCs/>
        </w:rPr>
        <w:t>Marzo</w:t>
      </w:r>
      <w:r>
        <w:rPr>
          <w:rStyle w:val="Ninguno"/>
          <w:b/>
          <w:bCs/>
        </w:rPr>
        <w:t xml:space="preserve"> se producen  </w:t>
      </w:r>
      <w:r w:rsidR="009476E7">
        <w:rPr>
          <w:rStyle w:val="Ninguno"/>
          <w:b/>
          <w:bCs/>
        </w:rPr>
        <w:t>aumentos</w:t>
      </w:r>
      <w:r>
        <w:rPr>
          <w:rStyle w:val="Ninguno"/>
          <w:b/>
          <w:bCs/>
        </w:rPr>
        <w:t xml:space="preserve"> generalizados en todas las Comunidades y Ciudades Autónomas</w:t>
      </w:r>
      <w:r w:rsidR="009476E7">
        <w:rPr>
          <w:rStyle w:val="Ninguno"/>
          <w:b/>
          <w:bCs/>
        </w:rPr>
        <w:t xml:space="preserve">. </w:t>
      </w:r>
    </w:p>
    <w:p w:rsidR="007F59ED" w:rsidRDefault="007F59ED">
      <w:pPr>
        <w:pStyle w:val="Cuerpo"/>
        <w:jc w:val="both"/>
        <w:rPr>
          <w:rStyle w:val="Ninguno"/>
          <w:b/>
          <w:bCs/>
        </w:rPr>
      </w:pPr>
    </w:p>
    <w:p w:rsidR="007F59ED" w:rsidRDefault="009476E7">
      <w:pPr>
        <w:pStyle w:val="Cuerpo"/>
        <w:jc w:val="both"/>
        <w:rPr>
          <w:rStyle w:val="Ninguno"/>
          <w:b/>
          <w:bCs/>
        </w:rPr>
      </w:pPr>
      <w:r>
        <w:rPr>
          <w:rStyle w:val="Ninguno"/>
          <w:b/>
          <w:bCs/>
        </w:rPr>
        <w:t xml:space="preserve">El aumento </w:t>
      </w:r>
      <w:r w:rsidR="00063C1D">
        <w:rPr>
          <w:rStyle w:val="Ninguno"/>
          <w:b/>
          <w:bCs/>
        </w:rPr>
        <w:t xml:space="preserve">más significativos </w:t>
      </w:r>
      <w:r>
        <w:rPr>
          <w:rStyle w:val="Ninguno"/>
          <w:b/>
          <w:bCs/>
        </w:rPr>
        <w:t>más significativo es el de baleares +8,41 pero Castilla la Mancha; Canarias; Madrid; Murcia; Comunidad Valenciana y las Ciudades Autónomas de Ceuta y Melilla se encuentran por encima del 7%</w:t>
      </w:r>
      <w:r w:rsidR="00063C1D">
        <w:rPr>
          <w:rStyle w:val="Ninguno"/>
          <w:b/>
          <w:bCs/>
        </w:rPr>
        <w:t>.</w:t>
      </w:r>
    </w:p>
    <w:p w:rsidR="007F59ED" w:rsidRDefault="007F59ED">
      <w:pPr>
        <w:pStyle w:val="Cuerpo"/>
        <w:jc w:val="both"/>
        <w:rPr>
          <w:rStyle w:val="Ninguno"/>
          <w:b/>
          <w:bCs/>
        </w:rPr>
      </w:pPr>
    </w:p>
    <w:p w:rsidR="007F59ED" w:rsidRDefault="009476E7">
      <w:pPr>
        <w:pStyle w:val="Cuerpo"/>
        <w:jc w:val="both"/>
      </w:pPr>
      <w:r>
        <w:t>Las Comunidades con menores crecimientos son La Rioja +2,69 y Aragón +3,18. El resto se mueven entre un 3,5 y un 7%.</w:t>
      </w:r>
    </w:p>
    <w:p w:rsidR="009476E7" w:rsidRDefault="009476E7">
      <w:pPr>
        <w:pStyle w:val="Cuerpo"/>
        <w:jc w:val="both"/>
      </w:pPr>
    </w:p>
    <w:p w:rsidR="007F59ED" w:rsidRDefault="00063C1D">
      <w:pPr>
        <w:pStyle w:val="Cuerpo"/>
        <w:jc w:val="both"/>
      </w:pPr>
      <w:r>
        <w:rPr>
          <w:lang w:val="es-ES_tradnl"/>
        </w:rPr>
        <w:t xml:space="preserve">En conjunto este mes de </w:t>
      </w:r>
      <w:r w:rsidR="000E799E">
        <w:rPr>
          <w:lang w:val="es-ES_tradnl"/>
        </w:rPr>
        <w:t>Marzo</w:t>
      </w:r>
      <w:r>
        <w:rPr>
          <w:lang w:val="es-ES_tradnl"/>
        </w:rPr>
        <w:t xml:space="preserve"> muestra una imagen de </w:t>
      </w:r>
      <w:r w:rsidR="009476E7">
        <w:rPr>
          <w:lang w:val="es-ES_tradnl"/>
        </w:rPr>
        <w:t>aumento</w:t>
      </w:r>
      <w:r>
        <w:rPr>
          <w:lang w:val="es-ES_tradnl"/>
        </w:rPr>
        <w:t xml:space="preserve"> considerable en las ventas, respecto al mismo mes del añ</w:t>
      </w:r>
      <w:r>
        <w:rPr>
          <w:lang w:val="pt-PT"/>
        </w:rPr>
        <w:t>o anterior.</w:t>
      </w:r>
    </w:p>
    <w:p w:rsidR="007F59ED" w:rsidRDefault="007F59ED">
      <w:pPr>
        <w:pStyle w:val="Cuerpo"/>
        <w:jc w:val="both"/>
      </w:pPr>
    </w:p>
    <w:p w:rsidR="007F59ED" w:rsidRDefault="007F59ED">
      <w:pPr>
        <w:pStyle w:val="Cuerpo"/>
        <w:jc w:val="both"/>
      </w:pPr>
    </w:p>
    <w:p w:rsidR="007F59ED" w:rsidRDefault="00302285">
      <w:pPr>
        <w:pStyle w:val="Cuerpo"/>
        <w:jc w:val="both"/>
      </w:pPr>
      <w:r>
        <w:rPr>
          <w:noProof/>
        </w:rPr>
        <w:drawing>
          <wp:inline distT="0" distB="0" distL="0" distR="0">
            <wp:extent cx="5637475" cy="5200153"/>
            <wp:effectExtent l="0" t="0" r="190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165" cy="5200789"/>
                    </a:xfrm>
                    <a:prstGeom prst="rect">
                      <a:avLst/>
                    </a:prstGeom>
                    <a:noFill/>
                  </pic:spPr>
                </pic:pic>
              </a:graphicData>
            </a:graphic>
          </wp:inline>
        </w:drawing>
      </w:r>
    </w:p>
    <w:p w:rsidR="007F59ED" w:rsidRDefault="007F59ED">
      <w:pPr>
        <w:pStyle w:val="Cuerpo"/>
        <w:jc w:val="both"/>
      </w:pPr>
    </w:p>
    <w:p w:rsidR="007F59ED" w:rsidRDefault="007F59ED">
      <w:pPr>
        <w:pStyle w:val="Cuerpo"/>
        <w:jc w:val="center"/>
      </w:pPr>
    </w:p>
    <w:p w:rsidR="007F59ED" w:rsidRDefault="00063C1D">
      <w:pPr>
        <w:pStyle w:val="Cuerpo"/>
        <w:jc w:val="both"/>
        <w:rPr>
          <w:rStyle w:val="Ninguno"/>
          <w:rFonts w:ascii="Arial Black" w:eastAsia="Arial Black" w:hAnsi="Arial Black" w:cs="Arial Black"/>
          <w:color w:val="008080"/>
          <w:sz w:val="26"/>
          <w:szCs w:val="26"/>
          <w:u w:color="008080"/>
        </w:rPr>
      </w:pPr>
      <w:r>
        <w:rPr>
          <w:rStyle w:val="Ninguno"/>
          <w:rFonts w:ascii="Arial Black" w:hAnsi="Arial Black"/>
          <w:color w:val="31849B"/>
          <w:sz w:val="26"/>
          <w:szCs w:val="26"/>
          <w:u w:color="31849B"/>
        </w:rPr>
        <w:lastRenderedPageBreak/>
        <w:t xml:space="preserve">Comparación </w:t>
      </w:r>
      <w:r>
        <w:rPr>
          <w:rStyle w:val="Ninguno"/>
          <w:rFonts w:ascii="Arial Black" w:hAnsi="Arial Black"/>
          <w:color w:val="008080"/>
          <w:sz w:val="26"/>
          <w:szCs w:val="26"/>
          <w:u w:color="008080"/>
        </w:rPr>
        <w:t>del gasto respecto al mes anterior por CC.AA.</w:t>
      </w:r>
    </w:p>
    <w:p w:rsidR="007F59ED" w:rsidRDefault="007F59ED">
      <w:pPr>
        <w:pStyle w:val="Cuerpo"/>
      </w:pPr>
    </w:p>
    <w:p w:rsidR="007F59ED" w:rsidRDefault="00063C1D">
      <w:pPr>
        <w:pStyle w:val="Cuerpo"/>
        <w:jc w:val="both"/>
        <w:rPr>
          <w:rStyle w:val="Ninguno"/>
          <w:b/>
          <w:bCs/>
        </w:rPr>
      </w:pPr>
      <w:r>
        <w:rPr>
          <w:lang w:val="es-ES_tradnl"/>
        </w:rPr>
        <w:t xml:space="preserve">Si hacemos la media de los dos </w:t>
      </w:r>
      <w:r>
        <w:t>ú</w:t>
      </w:r>
      <w:r>
        <w:rPr>
          <w:lang w:val="es-ES_tradnl"/>
        </w:rPr>
        <w:t xml:space="preserve">ltimos meses para evitar el </w:t>
      </w:r>
      <w:r>
        <w:t>“</w:t>
      </w:r>
      <w:r>
        <w:rPr>
          <w:lang w:val="es-ES_tradnl"/>
        </w:rPr>
        <w:t>efecto calendario</w:t>
      </w:r>
      <w:r>
        <w:t>”</w:t>
      </w:r>
      <w:r>
        <w:rPr>
          <w:lang w:val="es-ES_tradnl"/>
        </w:rPr>
        <w:t xml:space="preserve">, comparando en cada Comunidad Autónoma el incremento del gasto en los meses de Enero y </w:t>
      </w:r>
      <w:r w:rsidR="000E799E">
        <w:rPr>
          <w:lang w:val="es-ES_tradnl"/>
        </w:rPr>
        <w:t>Marzo</w:t>
      </w:r>
      <w:r>
        <w:rPr>
          <w:lang w:val="es-ES_tradnl"/>
        </w:rPr>
        <w:t xml:space="preserve">, respecto a los mismos meses del año anterior, se observa que se producen </w:t>
      </w:r>
      <w:r w:rsidR="009476E7">
        <w:rPr>
          <w:lang w:val="es-ES_tradnl"/>
        </w:rPr>
        <w:t>aumentos</w:t>
      </w:r>
      <w:r>
        <w:rPr>
          <w:lang w:val="es-ES_tradnl"/>
        </w:rPr>
        <w:t xml:space="preserve"> en todas las Comunidades y Ciudades Autó</w:t>
      </w:r>
      <w:r>
        <w:t>nomas</w:t>
      </w:r>
      <w:r>
        <w:rPr>
          <w:rStyle w:val="Ninguno"/>
          <w:b/>
          <w:bCs/>
        </w:rPr>
        <w:t xml:space="preserve">. </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 xml:space="preserve">Este resultado indica que se ha producido un </w:t>
      </w:r>
      <w:r w:rsidR="009476E7">
        <w:rPr>
          <w:rStyle w:val="Ninguno"/>
          <w:b/>
          <w:bCs/>
        </w:rPr>
        <w:t>aumento</w:t>
      </w:r>
      <w:r>
        <w:rPr>
          <w:rStyle w:val="Ninguno"/>
          <w:b/>
          <w:bCs/>
        </w:rPr>
        <w:t xml:space="preserve"> en la  recuperación del mercado respecto al año anterior al que hay que atribuir un cará</w:t>
      </w:r>
      <w:r>
        <w:rPr>
          <w:rStyle w:val="Ninguno"/>
          <w:b/>
          <w:bCs/>
          <w:lang w:val="pt-PT"/>
        </w:rPr>
        <w:t>cter circunstancial</w:t>
      </w:r>
      <w:r w:rsidR="009476E7">
        <w:rPr>
          <w:rStyle w:val="Ninguno"/>
          <w:b/>
          <w:bCs/>
          <w:lang w:val="pt-PT"/>
        </w:rPr>
        <w:t>, muy ligado a las fechas de cierre de la facturación</w:t>
      </w:r>
      <w:r w:rsidR="00E43ED9">
        <w:rPr>
          <w:rStyle w:val="Ninguno"/>
          <w:b/>
          <w:bCs/>
          <w:lang w:val="pt-PT"/>
        </w:rPr>
        <w:t>,</w:t>
      </w:r>
      <w:r w:rsidR="009476E7">
        <w:rPr>
          <w:rStyle w:val="Ninguno"/>
          <w:b/>
          <w:bCs/>
          <w:lang w:val="pt-PT"/>
        </w:rPr>
        <w:t xml:space="preserve"> respecto al mismo mes del año anterior</w:t>
      </w:r>
      <w:r>
        <w:rPr>
          <w:rStyle w:val="Ninguno"/>
          <w:b/>
          <w:bCs/>
          <w:lang w:val="pt-PT"/>
        </w:rPr>
        <w:t>.</w:t>
      </w:r>
    </w:p>
    <w:p w:rsidR="007F59ED" w:rsidRDefault="007F59ED">
      <w:pPr>
        <w:pStyle w:val="Cuerpo"/>
        <w:jc w:val="both"/>
        <w:rPr>
          <w:rStyle w:val="Ninguno"/>
          <w:b/>
          <w:bCs/>
        </w:rPr>
      </w:pPr>
    </w:p>
    <w:p w:rsidR="007F59ED" w:rsidRDefault="007F59ED">
      <w:pPr>
        <w:pStyle w:val="Cuerpo"/>
        <w:jc w:val="both"/>
        <w:rPr>
          <w:rStyle w:val="Ninguno"/>
          <w:b/>
          <w:bCs/>
        </w:rPr>
      </w:pPr>
    </w:p>
    <w:p w:rsidR="007F59ED" w:rsidRDefault="00302285">
      <w:pPr>
        <w:pStyle w:val="Cuerpo"/>
        <w:jc w:val="both"/>
        <w:rPr>
          <w:rStyle w:val="Ninguno"/>
          <w:rFonts w:ascii="Arial Black" w:eastAsia="Arial Black" w:hAnsi="Arial Black" w:cs="Arial Black"/>
          <w:color w:val="008080"/>
          <w:sz w:val="28"/>
          <w:szCs w:val="28"/>
          <w:u w:color="008080"/>
        </w:rPr>
      </w:pPr>
      <w:r>
        <w:rPr>
          <w:rFonts w:ascii="Arial Black" w:eastAsia="Arial Black" w:hAnsi="Arial Black" w:cs="Arial Black"/>
          <w:noProof/>
          <w:color w:val="008080"/>
          <w:sz w:val="28"/>
          <w:szCs w:val="28"/>
          <w:u w:color="008080"/>
        </w:rPr>
        <w:drawing>
          <wp:inline distT="0" distB="0" distL="0" distR="0">
            <wp:extent cx="5637475" cy="5899867"/>
            <wp:effectExtent l="0" t="0" r="190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165" cy="5900589"/>
                    </a:xfrm>
                    <a:prstGeom prst="rect">
                      <a:avLst/>
                    </a:prstGeom>
                    <a:noFill/>
                  </pic:spPr>
                </pic:pic>
              </a:graphicData>
            </a:graphic>
          </wp:inline>
        </w:drawing>
      </w:r>
    </w:p>
    <w:p w:rsidR="007F59ED" w:rsidRDefault="00063C1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lastRenderedPageBreak/>
        <w:t xml:space="preserve">Análisis de la demanda de medicamentos </w:t>
      </w:r>
    </w:p>
    <w:p w:rsidR="007F59ED" w:rsidRDefault="007F59ED">
      <w:pPr>
        <w:pStyle w:val="Cuerpo"/>
        <w:jc w:val="both"/>
        <w:rPr>
          <w:rStyle w:val="Ninguno"/>
          <w:color w:val="008080"/>
          <w:sz w:val="22"/>
          <w:szCs w:val="22"/>
          <w:u w:color="008080"/>
        </w:rPr>
      </w:pPr>
    </w:p>
    <w:p w:rsidR="007F59ED" w:rsidRDefault="00063C1D">
      <w:pPr>
        <w:pStyle w:val="Cuerpo"/>
        <w:jc w:val="both"/>
      </w:pPr>
      <w:r>
        <w:rPr>
          <w:lang w:val="es-ES_tradnl"/>
        </w:rPr>
        <w:t>Como en Observatorios anteriores, y desde que se puso en vigor el RDL 16/2012, venimos realizando un seguimiento de la demanda de medicamentos a trav</w:t>
      </w:r>
      <w:r>
        <w:rPr>
          <w:lang w:val="fr-FR"/>
        </w:rPr>
        <w:t>é</w:t>
      </w:r>
      <w:r>
        <w:rPr>
          <w:lang w:val="es-ES_tradnl"/>
        </w:rPr>
        <w:t xml:space="preserve">s de la evolución en el consumo de recetas, que es un dato que descendió durante los primeros meses del año 2013 pero que aumenta a final de ese año y ha continuado creciendo en los años 2014, 2015 y 2016. Ahora en 2017, </w:t>
      </w:r>
      <w:r>
        <w:rPr>
          <w:rStyle w:val="Ninguno"/>
          <w:b/>
          <w:bCs/>
        </w:rPr>
        <w:t xml:space="preserve">la Tendencia Anual Móvil (TAM) a </w:t>
      </w:r>
      <w:r w:rsidR="000E799E">
        <w:rPr>
          <w:rStyle w:val="Ninguno"/>
          <w:b/>
          <w:bCs/>
        </w:rPr>
        <w:t>marzo</w:t>
      </w:r>
      <w:r>
        <w:rPr>
          <w:rStyle w:val="Ninguno"/>
          <w:b/>
          <w:bCs/>
        </w:rPr>
        <w:t xml:space="preserve"> indica que continúa el crecimiento de las recetas</w:t>
      </w:r>
      <w:r>
        <w:rPr>
          <w:lang w:val="es-ES_tradnl"/>
        </w:rPr>
        <w:t xml:space="preserve"> que aumentan respecto al año anterior en </w:t>
      </w:r>
      <w:r w:rsidR="00E5620B">
        <w:rPr>
          <w:lang w:val="es-ES_tradnl"/>
        </w:rPr>
        <w:t>21,5</w:t>
      </w:r>
      <w:r>
        <w:rPr>
          <w:lang w:val="es-ES_tradnl"/>
        </w:rPr>
        <w:t xml:space="preserve"> millones de recetas.</w:t>
      </w:r>
    </w:p>
    <w:p w:rsidR="007F59ED" w:rsidRDefault="007F59ED">
      <w:pPr>
        <w:pStyle w:val="Cuerpo"/>
        <w:jc w:val="both"/>
      </w:pPr>
    </w:p>
    <w:p w:rsidR="007F59ED" w:rsidRDefault="007F59ED">
      <w:pPr>
        <w:pStyle w:val="Cuerpo"/>
        <w:jc w:val="both"/>
      </w:pPr>
    </w:p>
    <w:p w:rsidR="007F59ED" w:rsidRDefault="00D7768A">
      <w:pPr>
        <w:pStyle w:val="Cuerpo"/>
        <w:jc w:val="center"/>
        <w:rPr>
          <w:rStyle w:val="Ninguno"/>
          <w:sz w:val="20"/>
          <w:szCs w:val="20"/>
        </w:rPr>
      </w:pPr>
      <w:r>
        <w:rPr>
          <w:noProof/>
        </w:rPr>
        <w:drawing>
          <wp:inline distT="0" distB="0" distL="0" distR="0">
            <wp:extent cx="4600575" cy="3181350"/>
            <wp:effectExtent l="38100" t="38100" r="85725" b="952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59ED" w:rsidRDefault="007F59ED">
      <w:pPr>
        <w:pStyle w:val="Cuerpo"/>
        <w:jc w:val="center"/>
        <w:rPr>
          <w:rStyle w:val="Ninguno"/>
          <w:sz w:val="20"/>
          <w:szCs w:val="20"/>
        </w:rPr>
      </w:pP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 xml:space="preserve">En el año 2011 –máximo consumo de recetas, se dispensaron 973,2 millones de recetas por lo que la caída absoluta en el número de recetas ha sido de  </w:t>
      </w:r>
      <w:r w:rsidR="00E5620B">
        <w:rPr>
          <w:rStyle w:val="Ninguno"/>
          <w:b/>
          <w:bCs/>
        </w:rPr>
        <w:t>66,4</w:t>
      </w:r>
      <w:r>
        <w:rPr>
          <w:rStyle w:val="Ninguno"/>
          <w:b/>
          <w:bCs/>
        </w:rPr>
        <w:t xml:space="preserve"> millones. Si continuara el crecimiento en la misma medida que este añ</w:t>
      </w:r>
      <w:r>
        <w:rPr>
          <w:rStyle w:val="Ninguno"/>
          <w:b/>
          <w:bCs/>
          <w:lang w:val="pt-PT"/>
        </w:rPr>
        <w:t>o se tardar</w:t>
      </w:r>
      <w:r>
        <w:rPr>
          <w:rStyle w:val="Ninguno"/>
          <w:b/>
          <w:bCs/>
        </w:rPr>
        <w:t>ían casi cuatro años en llegar a la misma cifra de recetas del año 2011. En esta variación a la baja en el número de recetas a partir del año 2011 ha influido sin duda la nueva aportación de los beneficiarios pensionistas pero tambi</w:t>
      </w:r>
      <w:r>
        <w:rPr>
          <w:rStyle w:val="Ninguno"/>
          <w:b/>
          <w:bCs/>
          <w:lang w:val="fr-FR"/>
        </w:rPr>
        <w:t>é</w:t>
      </w:r>
      <w:r>
        <w:rPr>
          <w:rStyle w:val="Ninguno"/>
          <w:b/>
          <w:bCs/>
        </w:rPr>
        <w:t>n, el importante descenso de población que ha experimentado España desde ese añ</w:t>
      </w:r>
      <w:r>
        <w:rPr>
          <w:rStyle w:val="Ninguno"/>
          <w:b/>
          <w:bCs/>
          <w:lang w:val="pt-PT"/>
        </w:rPr>
        <w:t>o, seg</w:t>
      </w:r>
      <w:r>
        <w:rPr>
          <w:rStyle w:val="Ninguno"/>
          <w:b/>
          <w:bCs/>
        </w:rPr>
        <w:t>ún datos del Instituto Nacional de Estadí</w:t>
      </w:r>
      <w:r>
        <w:rPr>
          <w:rStyle w:val="Ninguno"/>
          <w:b/>
          <w:bCs/>
          <w:lang w:val="it-IT"/>
        </w:rPr>
        <w:t>stica.</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 xml:space="preserve">En algunas Comunidades como la valenciana comenzó en </w:t>
      </w:r>
      <w:r w:rsidR="000E799E">
        <w:rPr>
          <w:rStyle w:val="Ninguno"/>
          <w:b/>
          <w:bCs/>
        </w:rPr>
        <w:t>marzo</w:t>
      </w:r>
      <w:r>
        <w:rPr>
          <w:rStyle w:val="Ninguno"/>
          <w:b/>
          <w:bCs/>
        </w:rPr>
        <w:t xml:space="preserve"> del año 2016 a subvencionarse la aportación a pensionistas y otros colectivos desfavorecidos con lo que se está produciendo un repunte en el consumo de recetas, sin embargo</w:t>
      </w:r>
      <w:r w:rsidR="00E5620B">
        <w:rPr>
          <w:rStyle w:val="Ninguno"/>
          <w:b/>
          <w:bCs/>
        </w:rPr>
        <w:t>, aunque</w:t>
      </w:r>
      <w:r>
        <w:rPr>
          <w:rStyle w:val="Ninguno"/>
          <w:b/>
          <w:bCs/>
        </w:rPr>
        <w:t xml:space="preserve"> la recuperación aunque es más acusada en esa comunidad, se está produciendo en el resto con un patrón similar.</w:t>
      </w:r>
    </w:p>
    <w:p w:rsidR="00F617C4" w:rsidRDefault="00F617C4">
      <w:pPr>
        <w:pStyle w:val="Cuerpo"/>
        <w:rPr>
          <w:rStyle w:val="Ninguno"/>
          <w:rFonts w:ascii="Arial Black" w:hAnsi="Arial Black"/>
          <w:color w:val="008080"/>
          <w:u w:color="008080"/>
        </w:rPr>
      </w:pPr>
    </w:p>
    <w:p w:rsidR="00F617C4" w:rsidRDefault="00E5620B">
      <w:pPr>
        <w:pStyle w:val="Cuerpo"/>
        <w:rPr>
          <w:rStyle w:val="Ninguno"/>
          <w:rFonts w:ascii="Arial Black" w:hAnsi="Arial Black"/>
          <w:color w:val="008080"/>
          <w:u w:color="008080"/>
        </w:rPr>
      </w:pPr>
      <w:r>
        <w:rPr>
          <w:rStyle w:val="Ninguno"/>
          <w:rFonts w:ascii="Arial Black" w:hAnsi="Arial Black"/>
          <w:color w:val="008080"/>
          <w:u w:color="008080"/>
        </w:rPr>
        <w:lastRenderedPageBreak/>
        <w:t>Evolución del mercado de genéricos.</w:t>
      </w:r>
    </w:p>
    <w:p w:rsidR="00E5620B" w:rsidRPr="00E5620B" w:rsidRDefault="00E5620B">
      <w:pPr>
        <w:pStyle w:val="Cuerpo"/>
        <w:rPr>
          <w:rStyle w:val="Ninguno"/>
          <w:color w:val="auto"/>
          <w:u w:color="008080"/>
        </w:rPr>
      </w:pPr>
    </w:p>
    <w:p w:rsidR="00E5620B" w:rsidRDefault="00E5620B" w:rsidP="00A53602">
      <w:pPr>
        <w:pStyle w:val="Cuerpo"/>
        <w:jc w:val="both"/>
        <w:rPr>
          <w:rStyle w:val="Ninguno"/>
          <w:color w:val="auto"/>
          <w:u w:color="008080"/>
        </w:rPr>
      </w:pPr>
      <w:r>
        <w:rPr>
          <w:rStyle w:val="Ninguno"/>
          <w:color w:val="auto"/>
          <w:u w:color="008080"/>
        </w:rPr>
        <w:t>Con motivo de la celebración del vigésimo aniversario de la introducción en España de los medicamentos genéricos se están llevando a cabo diversas iniciativas para valorar retrospectivamente el papel de estos medicamentos en la contención del gasto público y aportar soluciones para un mayor crecimiento de este mercado.</w:t>
      </w:r>
    </w:p>
    <w:p w:rsidR="00E5620B" w:rsidRDefault="00E5620B" w:rsidP="00A53602">
      <w:pPr>
        <w:pStyle w:val="Cuerpo"/>
        <w:jc w:val="both"/>
        <w:rPr>
          <w:rStyle w:val="Ninguno"/>
          <w:color w:val="auto"/>
          <w:u w:color="008080"/>
        </w:rPr>
      </w:pPr>
    </w:p>
    <w:p w:rsidR="00226C42" w:rsidRDefault="00E5620B" w:rsidP="00A53602">
      <w:pPr>
        <w:pStyle w:val="Cuerpo"/>
        <w:jc w:val="both"/>
        <w:rPr>
          <w:rStyle w:val="Ninguno"/>
          <w:color w:val="auto"/>
          <w:u w:color="008080"/>
        </w:rPr>
      </w:pPr>
      <w:r>
        <w:rPr>
          <w:rStyle w:val="Ninguno"/>
          <w:color w:val="auto"/>
          <w:u w:color="008080"/>
        </w:rPr>
        <w:t>La realidad es que el mercado de genéricos experimenta ligeros crecimientos pero su cuota de participación permanece estancada desde hace dos años en un 40% en unidades y un 20% en valores</w:t>
      </w:r>
      <w:r w:rsidR="00A53602">
        <w:rPr>
          <w:rStyle w:val="Ninguno"/>
          <w:color w:val="auto"/>
          <w:u w:color="008080"/>
        </w:rPr>
        <w:t>, según datos de la consultora QuintilesIMS</w:t>
      </w:r>
      <w:r>
        <w:rPr>
          <w:rStyle w:val="Ninguno"/>
          <w:color w:val="auto"/>
          <w:u w:color="008080"/>
        </w:rPr>
        <w:t>.</w:t>
      </w:r>
      <w:r w:rsidR="00A53602">
        <w:rPr>
          <w:rStyle w:val="Ninguno"/>
          <w:color w:val="auto"/>
          <w:u w:color="008080"/>
        </w:rPr>
        <w:t xml:space="preserve"> </w:t>
      </w:r>
    </w:p>
    <w:p w:rsidR="00226C42" w:rsidRDefault="00226C42" w:rsidP="00A53602">
      <w:pPr>
        <w:pStyle w:val="Cuerpo"/>
        <w:jc w:val="both"/>
        <w:rPr>
          <w:rStyle w:val="Ninguno"/>
          <w:color w:val="auto"/>
          <w:u w:color="008080"/>
        </w:rPr>
      </w:pPr>
    </w:p>
    <w:p w:rsidR="00E5620B" w:rsidRPr="00A53602" w:rsidRDefault="00A53602" w:rsidP="00A53602">
      <w:pPr>
        <w:pStyle w:val="Cuerpo"/>
        <w:jc w:val="both"/>
        <w:rPr>
          <w:rStyle w:val="Ninguno"/>
          <w:color w:val="auto"/>
          <w:u w:color="008080"/>
          <w:lang w:val="es-ES"/>
        </w:rPr>
      </w:pPr>
      <w:r w:rsidRPr="00A53602">
        <w:rPr>
          <w:bCs/>
          <w:color w:val="auto"/>
          <w:u w:color="008080"/>
        </w:rPr>
        <w:t>Hasta 2014 las marcas venían evolucionando negativamente y los genéricos positivamente. Se observa un cambio en esta tendencia en el año 2015 que se mantienen en 2016</w:t>
      </w:r>
    </w:p>
    <w:p w:rsidR="00E5620B" w:rsidRDefault="00E5620B">
      <w:pPr>
        <w:pStyle w:val="Cuerpo"/>
        <w:rPr>
          <w:rStyle w:val="Ninguno"/>
          <w:color w:val="auto"/>
          <w:u w:color="008080"/>
        </w:rPr>
      </w:pPr>
    </w:p>
    <w:p w:rsidR="00A53602" w:rsidRDefault="00A53602">
      <w:pPr>
        <w:pStyle w:val="Cuerpo"/>
        <w:rPr>
          <w:rStyle w:val="Ninguno"/>
          <w:color w:val="auto"/>
          <w:u w:color="008080"/>
        </w:rPr>
      </w:pPr>
      <w:r w:rsidRPr="00A53602">
        <w:rPr>
          <w:noProof/>
          <w:color w:val="auto"/>
          <w:u w:color="008080"/>
        </w:rPr>
        <w:drawing>
          <wp:inline distT="0" distB="0" distL="0" distR="0">
            <wp:extent cx="5612130" cy="3150235"/>
            <wp:effectExtent l="0" t="0" r="7620" b="0"/>
            <wp:docPr id="4608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6082" name="Picture 2"/>
                    <pic:cNvPicPr>
                      <a:picLocks noGrp="1" noChangeAspect="1" noChangeArrowheads="1"/>
                    </pic:cNvPicPr>
                  </pic:nvPicPr>
                  <pic:blipFill>
                    <a:blip r:embed="rId14" cstate="print"/>
                    <a:srcRect/>
                    <a:stretch>
                      <a:fillRect/>
                    </a:stretch>
                  </pic:blipFill>
                  <pic:spPr bwMode="auto">
                    <a:xfrm>
                      <a:off x="0" y="0"/>
                      <a:ext cx="5612130" cy="3150235"/>
                    </a:xfrm>
                    <a:prstGeom prst="rect">
                      <a:avLst/>
                    </a:prstGeom>
                    <a:noFill/>
                    <a:ln w="9525">
                      <a:noFill/>
                      <a:miter lim="800000"/>
                      <a:headEnd/>
                      <a:tailEnd/>
                    </a:ln>
                  </pic:spPr>
                </pic:pic>
              </a:graphicData>
            </a:graphic>
          </wp:inline>
        </w:drawing>
      </w:r>
    </w:p>
    <w:p w:rsidR="00E5620B" w:rsidRDefault="00E5620B">
      <w:pPr>
        <w:pStyle w:val="Cuerpo"/>
        <w:rPr>
          <w:rStyle w:val="Ninguno"/>
          <w:color w:val="auto"/>
          <w:u w:color="008080"/>
        </w:rPr>
      </w:pPr>
    </w:p>
    <w:p w:rsidR="0042360C" w:rsidRDefault="00A53602" w:rsidP="00DD566D">
      <w:pPr>
        <w:pStyle w:val="Cuerpo"/>
        <w:jc w:val="both"/>
        <w:rPr>
          <w:rStyle w:val="Ninguno"/>
          <w:color w:val="auto"/>
          <w:u w:color="008080"/>
        </w:rPr>
      </w:pPr>
      <w:r>
        <w:rPr>
          <w:rStyle w:val="Ninguno"/>
          <w:color w:val="auto"/>
          <w:u w:color="008080"/>
        </w:rPr>
        <w:t>El mercado de genéricos en experimentaba crecimientos (%PPG)</w:t>
      </w:r>
      <w:r>
        <w:rPr>
          <w:rStyle w:val="Refdenotaalpie"/>
          <w:color w:val="auto"/>
          <w:u w:color="008080"/>
          <w:lang w:val="es-ES_tradnl"/>
        </w:rPr>
        <w:footnoteReference w:id="1"/>
      </w:r>
      <w:r>
        <w:rPr>
          <w:rStyle w:val="Ninguno"/>
          <w:color w:val="auto"/>
          <w:u w:color="008080"/>
        </w:rPr>
        <w:t xml:space="preserve"> </w:t>
      </w:r>
      <w:r w:rsidR="0042360C">
        <w:rPr>
          <w:rStyle w:val="Ninguno"/>
          <w:color w:val="auto"/>
          <w:u w:color="008080"/>
        </w:rPr>
        <w:t xml:space="preserve">en unidades y valores </w:t>
      </w:r>
      <w:r>
        <w:rPr>
          <w:rStyle w:val="Ninguno"/>
          <w:color w:val="auto"/>
          <w:u w:color="008080"/>
        </w:rPr>
        <w:t>en los años 2012 y 2013 mientras las marcas decrecían</w:t>
      </w:r>
      <w:r w:rsidR="0042360C">
        <w:rPr>
          <w:rStyle w:val="Ninguno"/>
          <w:color w:val="auto"/>
          <w:u w:color="008080"/>
        </w:rPr>
        <w:t>. Por el cont</w:t>
      </w:r>
      <w:r w:rsidR="00FA0E25">
        <w:rPr>
          <w:rStyle w:val="Ninguno"/>
          <w:color w:val="auto"/>
          <w:u w:color="008080"/>
        </w:rPr>
        <w:t>r</w:t>
      </w:r>
      <w:r w:rsidR="0042360C">
        <w:rPr>
          <w:rStyle w:val="Ninguno"/>
          <w:color w:val="auto"/>
          <w:u w:color="008080"/>
        </w:rPr>
        <w:t>ario a partir del año 2014 las marcas crecen, y en el año 2016 el crecimiento en valores es mayor que los genéricos. Este cambio de tendencia se debe, sin duda, a no haber dado ningún tipo de prioridad en la dispensación de marcas o genéricos en caso de tener el mismo precio</w:t>
      </w:r>
      <w:r w:rsidR="00226C42">
        <w:rPr>
          <w:rStyle w:val="Ninguno"/>
          <w:color w:val="auto"/>
          <w:u w:color="008080"/>
        </w:rPr>
        <w:t>, que es la última modificación introducida en la Ley de Garantías en el Texto Refundido del año 2013</w:t>
      </w:r>
      <w:r w:rsidR="0042360C">
        <w:rPr>
          <w:rStyle w:val="Ninguno"/>
          <w:color w:val="auto"/>
          <w:u w:color="008080"/>
        </w:rPr>
        <w:t xml:space="preserve">. </w:t>
      </w:r>
    </w:p>
    <w:p w:rsidR="0042360C" w:rsidRDefault="0042360C" w:rsidP="00DD566D">
      <w:pPr>
        <w:pStyle w:val="Cuerpo"/>
        <w:jc w:val="both"/>
        <w:rPr>
          <w:rStyle w:val="Ninguno"/>
          <w:color w:val="auto"/>
          <w:u w:color="008080"/>
        </w:rPr>
      </w:pPr>
    </w:p>
    <w:p w:rsidR="00A53602" w:rsidRPr="0042360C" w:rsidRDefault="0042360C" w:rsidP="00DD566D">
      <w:pPr>
        <w:pStyle w:val="Cuerpo"/>
        <w:jc w:val="both"/>
        <w:rPr>
          <w:rStyle w:val="Ninguno"/>
          <w:color w:val="auto"/>
          <w:u w:color="008080"/>
        </w:rPr>
      </w:pPr>
      <w:r>
        <w:rPr>
          <w:rStyle w:val="Ninguno"/>
          <w:color w:val="auto"/>
          <w:u w:color="008080"/>
        </w:rPr>
        <w:t xml:space="preserve">Esta situación se aprecia claramente en los gráficos siguientes en los que se muestra la participación en el mercado </w:t>
      </w:r>
      <w:r w:rsidR="00DD566D">
        <w:rPr>
          <w:rStyle w:val="Ninguno"/>
          <w:color w:val="auto"/>
          <w:u w:color="008080"/>
        </w:rPr>
        <w:t>del mercado protegido (con marca</w:t>
      </w:r>
      <w:r>
        <w:rPr>
          <w:rStyle w:val="Ninguno"/>
          <w:color w:val="auto"/>
          <w:u w:color="008080"/>
        </w:rPr>
        <w:t xml:space="preserve">) y el mercado de genéricos. </w:t>
      </w:r>
      <w:r w:rsidRPr="0042360C">
        <w:rPr>
          <w:bCs/>
          <w:color w:val="auto"/>
          <w:u w:color="008080"/>
        </w:rPr>
        <w:t xml:space="preserve">El mercado no protegido supone 2/3 del total mercado </w:t>
      </w:r>
      <w:r w:rsidRPr="0042360C">
        <w:rPr>
          <w:bCs/>
          <w:color w:val="auto"/>
          <w:u w:color="008080"/>
        </w:rPr>
        <w:lastRenderedPageBreak/>
        <w:t xml:space="preserve">farmacéutico en el acumulado de los últimos 12 meses y </w:t>
      </w:r>
      <w:r w:rsidR="00CA6248">
        <w:rPr>
          <w:bCs/>
          <w:color w:val="auto"/>
          <w:u w:color="008080"/>
        </w:rPr>
        <w:t>d</w:t>
      </w:r>
      <w:r w:rsidRPr="0042360C">
        <w:rPr>
          <w:bCs/>
          <w:color w:val="auto"/>
          <w:u w:color="008080"/>
        </w:rPr>
        <w:t xml:space="preserve">entro del mercado no protegido las marcas suponen el 68,7% del </w:t>
      </w:r>
      <w:r w:rsidR="00226C42">
        <w:rPr>
          <w:bCs/>
          <w:color w:val="auto"/>
          <w:u w:color="008080"/>
        </w:rPr>
        <w:t>total</w:t>
      </w:r>
      <w:r w:rsidRPr="0042360C">
        <w:rPr>
          <w:bCs/>
          <w:color w:val="auto"/>
          <w:u w:color="008080"/>
        </w:rPr>
        <w:t xml:space="preserve"> en este mismo periodo</w:t>
      </w:r>
      <w:r w:rsidR="00DD566D">
        <w:rPr>
          <w:bCs/>
          <w:color w:val="auto"/>
          <w:u w:color="008080"/>
        </w:rPr>
        <w:t>.</w:t>
      </w:r>
      <w:r w:rsidR="00A53602" w:rsidRPr="0042360C">
        <w:rPr>
          <w:rStyle w:val="Ninguno"/>
          <w:color w:val="auto"/>
          <w:u w:color="008080"/>
        </w:rPr>
        <w:t xml:space="preserve"> </w:t>
      </w:r>
    </w:p>
    <w:p w:rsidR="00A53602" w:rsidRDefault="00A53602">
      <w:pPr>
        <w:pStyle w:val="Cuerpo"/>
        <w:rPr>
          <w:rStyle w:val="Ninguno"/>
          <w:rFonts w:ascii="Arial Black" w:hAnsi="Arial Black"/>
          <w:color w:val="008080"/>
          <w:u w:color="008080"/>
        </w:rPr>
      </w:pPr>
    </w:p>
    <w:p w:rsidR="00A53602" w:rsidRDefault="00DD566D">
      <w:pPr>
        <w:pStyle w:val="Cuerpo"/>
        <w:rPr>
          <w:rStyle w:val="Ninguno"/>
          <w:rFonts w:ascii="Arial Black" w:hAnsi="Arial Black"/>
          <w:color w:val="008080"/>
          <w:u w:color="008080"/>
        </w:rPr>
      </w:pPr>
      <w:r w:rsidRPr="00DD566D">
        <w:rPr>
          <w:rFonts w:ascii="Arial Black" w:hAnsi="Arial Black"/>
          <w:noProof/>
          <w:color w:val="008080"/>
          <w:u w:color="008080"/>
        </w:rPr>
        <w:drawing>
          <wp:inline distT="0" distB="0" distL="0" distR="0">
            <wp:extent cx="5621572" cy="1962941"/>
            <wp:effectExtent l="0" t="0" r="0" b="0"/>
            <wp:docPr id="47109"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7109" name="Picture 5"/>
                    <pic:cNvPicPr>
                      <a:picLocks noGrp="1" noChangeAspect="1" noChangeArrowheads="1"/>
                    </pic:cNvPicPr>
                  </pic:nvPicPr>
                  <pic:blipFill>
                    <a:blip r:embed="rId15" cstate="print"/>
                    <a:srcRect/>
                    <a:stretch>
                      <a:fillRect/>
                    </a:stretch>
                  </pic:blipFill>
                  <pic:spPr bwMode="auto">
                    <a:xfrm>
                      <a:off x="0" y="0"/>
                      <a:ext cx="5635047" cy="1967646"/>
                    </a:xfrm>
                    <a:prstGeom prst="rect">
                      <a:avLst/>
                    </a:prstGeom>
                    <a:noFill/>
                    <a:ln w="9525">
                      <a:noFill/>
                      <a:miter lim="800000"/>
                      <a:headEnd/>
                      <a:tailEnd/>
                    </a:ln>
                  </pic:spPr>
                </pic:pic>
              </a:graphicData>
            </a:graphic>
          </wp:inline>
        </w:drawing>
      </w:r>
    </w:p>
    <w:p w:rsidR="00DD566D" w:rsidRPr="00226C42" w:rsidRDefault="00DD566D">
      <w:pPr>
        <w:pStyle w:val="Cuerpo"/>
        <w:rPr>
          <w:rStyle w:val="Ninguno"/>
          <w:color w:val="auto"/>
          <w:sz w:val="20"/>
          <w:u w:color="008080"/>
        </w:rPr>
      </w:pPr>
      <w:r w:rsidRPr="00226C42">
        <w:rPr>
          <w:rStyle w:val="Ninguno"/>
          <w:color w:val="auto"/>
          <w:sz w:val="20"/>
          <w:u w:color="008080"/>
        </w:rPr>
        <w:t>Fuente: Quintiles IMS. (Las siglas MAT significan: Tendencia Anual Móvil en inglés)</w:t>
      </w:r>
    </w:p>
    <w:p w:rsidR="00A53602" w:rsidRDefault="00A53602">
      <w:pPr>
        <w:pStyle w:val="Cuerpo"/>
        <w:rPr>
          <w:rStyle w:val="Ninguno"/>
          <w:rFonts w:ascii="Arial Black" w:hAnsi="Arial Black"/>
          <w:color w:val="008080"/>
          <w:u w:color="008080"/>
        </w:rPr>
      </w:pPr>
    </w:p>
    <w:p w:rsidR="00226C42" w:rsidRDefault="00226C42" w:rsidP="000F3ADB">
      <w:pPr>
        <w:pStyle w:val="Cuerpo"/>
        <w:jc w:val="both"/>
        <w:rPr>
          <w:rStyle w:val="Ninguno"/>
          <w:color w:val="auto"/>
          <w:u w:color="008080"/>
        </w:rPr>
      </w:pPr>
    </w:p>
    <w:p w:rsidR="00A53602" w:rsidRDefault="00CA6248" w:rsidP="000F3ADB">
      <w:pPr>
        <w:pStyle w:val="Cuerpo"/>
        <w:jc w:val="both"/>
        <w:rPr>
          <w:rStyle w:val="Ninguno"/>
          <w:color w:val="auto"/>
          <w:u w:color="008080"/>
        </w:rPr>
      </w:pPr>
      <w:r>
        <w:rPr>
          <w:rStyle w:val="Ninguno"/>
          <w:color w:val="auto"/>
          <w:u w:color="008080"/>
        </w:rPr>
        <w:t xml:space="preserve">Ante esta situación FEFE ha realizado </w:t>
      </w:r>
      <w:r w:rsidR="004E3B09">
        <w:rPr>
          <w:rStyle w:val="Ninguno"/>
          <w:color w:val="auto"/>
          <w:u w:color="008080"/>
        </w:rPr>
        <w:t xml:space="preserve">en distintos momentos </w:t>
      </w:r>
      <w:r>
        <w:rPr>
          <w:rStyle w:val="Ninguno"/>
          <w:color w:val="auto"/>
          <w:u w:color="008080"/>
        </w:rPr>
        <w:t>propuestas para incrementar el mercado de genéricos tales como:</w:t>
      </w:r>
    </w:p>
    <w:p w:rsidR="00CA6248" w:rsidRDefault="00CA6248" w:rsidP="000F3ADB">
      <w:pPr>
        <w:pStyle w:val="Cuerpo"/>
        <w:jc w:val="both"/>
        <w:rPr>
          <w:rStyle w:val="Ninguno"/>
          <w:color w:val="auto"/>
          <w:u w:color="008080"/>
        </w:rPr>
      </w:pPr>
    </w:p>
    <w:p w:rsidR="009C1C0D" w:rsidRDefault="00EE2AFB" w:rsidP="004E3B09">
      <w:pPr>
        <w:pStyle w:val="Cuerpo"/>
        <w:numPr>
          <w:ilvl w:val="0"/>
          <w:numId w:val="3"/>
        </w:numPr>
        <w:jc w:val="both"/>
        <w:rPr>
          <w:color w:val="auto"/>
          <w:u w:color="008080"/>
        </w:rPr>
      </w:pPr>
      <w:r w:rsidRPr="00CA6248">
        <w:rPr>
          <w:color w:val="auto"/>
          <w:u w:color="008080"/>
        </w:rPr>
        <w:t xml:space="preserve">No poner trabas a la </w:t>
      </w:r>
      <w:r w:rsidRPr="00CA6248">
        <w:rPr>
          <w:b/>
          <w:bCs/>
          <w:color w:val="auto"/>
          <w:u w:color="008080"/>
        </w:rPr>
        <w:t xml:space="preserve">capacidad de negociación </w:t>
      </w:r>
      <w:r w:rsidRPr="00CA6248">
        <w:rPr>
          <w:color w:val="auto"/>
          <w:u w:color="008080"/>
        </w:rPr>
        <w:t>entre laboratorios y farmacias.</w:t>
      </w:r>
      <w:r w:rsidR="00CA6248">
        <w:rPr>
          <w:color w:val="auto"/>
          <w:u w:color="008080"/>
        </w:rPr>
        <w:t xml:space="preserve"> En este sentido se consideran muy negativas las prohibiciones, mantenidas en el pasado, para obtener descuentos en la adquisición de genéricos, ahora superadas tras la publicación del Texto Refundido de la Ley del Medicamento del año 2013.</w:t>
      </w:r>
    </w:p>
    <w:p w:rsidR="004E3B09" w:rsidRDefault="004E3B09" w:rsidP="004E3B09">
      <w:pPr>
        <w:pStyle w:val="Cuerpo"/>
        <w:ind w:left="720"/>
        <w:jc w:val="both"/>
        <w:rPr>
          <w:color w:val="auto"/>
          <w:u w:color="008080"/>
        </w:rPr>
      </w:pPr>
    </w:p>
    <w:p w:rsidR="009C1C0D" w:rsidRDefault="00EE2AFB" w:rsidP="004E3B09">
      <w:pPr>
        <w:pStyle w:val="Cuerpo"/>
        <w:numPr>
          <w:ilvl w:val="0"/>
          <w:numId w:val="3"/>
        </w:numPr>
        <w:jc w:val="both"/>
        <w:rPr>
          <w:u w:color="008080"/>
        </w:rPr>
      </w:pPr>
      <w:r w:rsidRPr="00CA6248">
        <w:rPr>
          <w:b/>
          <w:bCs/>
          <w:u w:color="008080"/>
        </w:rPr>
        <w:t xml:space="preserve">Libertad de sustitución </w:t>
      </w:r>
      <w:r w:rsidRPr="00CA6248">
        <w:rPr>
          <w:u w:color="008080"/>
        </w:rPr>
        <w:t>entre medicamentos de igual composición, para facilitar la elección del paciente.</w:t>
      </w:r>
      <w:r w:rsidR="00CA6248">
        <w:rPr>
          <w:u w:color="008080"/>
        </w:rPr>
        <w:t xml:space="preserve"> De hecho la libertad de sustitución nunca ha existido en España, ya que todas las sustituciones que se realizan lo son por imperativo legal en función de criterios económicos fijados por la Administración.</w:t>
      </w:r>
    </w:p>
    <w:p w:rsidR="004E3B09" w:rsidRDefault="004E3B09" w:rsidP="004E3B09">
      <w:pPr>
        <w:pStyle w:val="Prrafodelista"/>
        <w:rPr>
          <w:u w:color="008080"/>
        </w:rPr>
      </w:pPr>
    </w:p>
    <w:p w:rsidR="009C1C0D" w:rsidRDefault="00EE2AFB" w:rsidP="004E3B09">
      <w:pPr>
        <w:pStyle w:val="Cuerpo"/>
        <w:numPr>
          <w:ilvl w:val="0"/>
          <w:numId w:val="3"/>
        </w:numPr>
        <w:jc w:val="both"/>
        <w:rPr>
          <w:u w:color="008080"/>
        </w:rPr>
      </w:pPr>
      <w:r w:rsidRPr="00CA6248">
        <w:rPr>
          <w:b/>
          <w:bCs/>
          <w:u w:color="008080"/>
        </w:rPr>
        <w:t xml:space="preserve">Acabar con el actual sistema de precios de referencia </w:t>
      </w:r>
      <w:r w:rsidRPr="00CA6248">
        <w:rPr>
          <w:u w:color="008080"/>
        </w:rPr>
        <w:t>que resulta excesivamente complejo</w:t>
      </w:r>
      <w:r w:rsidR="004E3B09">
        <w:rPr>
          <w:u w:color="008080"/>
        </w:rPr>
        <w:t xml:space="preserve"> y ha agotado su capacidad de reducción del gasto.</w:t>
      </w:r>
      <w:r w:rsidR="00CA6248">
        <w:rPr>
          <w:u w:color="008080"/>
        </w:rPr>
        <w:t xml:space="preserve"> </w:t>
      </w:r>
    </w:p>
    <w:p w:rsidR="004E3B09" w:rsidRPr="00CA6248" w:rsidRDefault="004E3B09" w:rsidP="004E3B09">
      <w:pPr>
        <w:pStyle w:val="Cuerpo"/>
        <w:jc w:val="both"/>
        <w:rPr>
          <w:u w:color="008080"/>
        </w:rPr>
      </w:pPr>
    </w:p>
    <w:p w:rsidR="009C1C0D" w:rsidRDefault="00EE2AFB" w:rsidP="004E3B09">
      <w:pPr>
        <w:pStyle w:val="Cuerpo"/>
        <w:numPr>
          <w:ilvl w:val="0"/>
          <w:numId w:val="3"/>
        </w:numPr>
        <w:jc w:val="both"/>
        <w:rPr>
          <w:u w:color="008080"/>
        </w:rPr>
      </w:pPr>
      <w:r w:rsidRPr="004E3B09">
        <w:rPr>
          <w:u w:color="008080"/>
        </w:rPr>
        <w:t xml:space="preserve">Ir a </w:t>
      </w:r>
      <w:r w:rsidRPr="004E3B09">
        <w:rPr>
          <w:b/>
          <w:bCs/>
          <w:u w:color="008080"/>
        </w:rPr>
        <w:t xml:space="preserve">otro sistema de precios de referencia </w:t>
      </w:r>
      <w:r w:rsidRPr="004E3B09">
        <w:rPr>
          <w:u w:color="008080"/>
        </w:rPr>
        <w:t>en el que la Administración simplemente fije el precio máximo de financiación y la libertad de precios para el laboratorio, con posibilidad de elección por el paciente, pagando la diferencia.</w:t>
      </w:r>
      <w:r w:rsidR="004E3B09">
        <w:rPr>
          <w:u w:color="008080"/>
        </w:rPr>
        <w:t xml:space="preserve"> Este sistema podría contemplar igualmente un copago evitable, total o parcialmente, cuando el paciente elija el genérico.</w:t>
      </w:r>
    </w:p>
    <w:p w:rsidR="004E3B09" w:rsidRDefault="004E3B09" w:rsidP="004E3B09">
      <w:pPr>
        <w:pStyle w:val="Cuerpo"/>
        <w:jc w:val="both"/>
        <w:rPr>
          <w:u w:color="008080"/>
        </w:rPr>
      </w:pPr>
    </w:p>
    <w:p w:rsidR="004E3B09" w:rsidRDefault="004E3B09" w:rsidP="004E3B09">
      <w:pPr>
        <w:pStyle w:val="Cuerpo"/>
        <w:numPr>
          <w:ilvl w:val="0"/>
          <w:numId w:val="3"/>
        </w:numPr>
        <w:jc w:val="both"/>
        <w:rPr>
          <w:u w:color="008080"/>
        </w:rPr>
      </w:pPr>
      <w:r w:rsidRPr="004E3B09">
        <w:rPr>
          <w:b/>
          <w:u w:color="008080"/>
        </w:rPr>
        <w:t>Acabar, de hecho, con las subastas</w:t>
      </w:r>
      <w:r>
        <w:rPr>
          <w:u w:color="008080"/>
        </w:rPr>
        <w:t xml:space="preserve"> generadoras de desabastecimientos y que producen insatisfacción en médicos y pacientes.</w:t>
      </w:r>
    </w:p>
    <w:p w:rsidR="004E3B09" w:rsidRPr="004E3B09" w:rsidRDefault="004E3B09" w:rsidP="004E3B09">
      <w:pPr>
        <w:pStyle w:val="Cuerpo"/>
        <w:jc w:val="both"/>
        <w:rPr>
          <w:u w:color="008080"/>
        </w:rPr>
      </w:pPr>
      <w:r>
        <w:rPr>
          <w:u w:color="008080"/>
        </w:rPr>
        <w:t xml:space="preserve"> </w:t>
      </w:r>
    </w:p>
    <w:p w:rsidR="009C1C0D" w:rsidRPr="004E3B09" w:rsidRDefault="004E3B09" w:rsidP="004E3B09">
      <w:pPr>
        <w:pStyle w:val="Cuerpo"/>
        <w:numPr>
          <w:ilvl w:val="0"/>
          <w:numId w:val="3"/>
        </w:numPr>
        <w:jc w:val="both"/>
        <w:rPr>
          <w:u w:color="008080"/>
        </w:rPr>
      </w:pPr>
      <w:r>
        <w:rPr>
          <w:u w:color="008080"/>
        </w:rPr>
        <w:t>L</w:t>
      </w:r>
      <w:r w:rsidR="00EE2AFB" w:rsidRPr="004E3B09">
        <w:rPr>
          <w:u w:color="008080"/>
        </w:rPr>
        <w:t xml:space="preserve">a puesta en marcha de los </w:t>
      </w:r>
      <w:r w:rsidR="00EE2AFB" w:rsidRPr="004E3B09">
        <w:rPr>
          <w:b/>
          <w:bCs/>
          <w:u w:color="008080"/>
        </w:rPr>
        <w:t xml:space="preserve">“precios notificados” </w:t>
      </w:r>
      <w:r w:rsidR="00EE2AFB" w:rsidRPr="004E3B09">
        <w:rPr>
          <w:u w:color="008080"/>
        </w:rPr>
        <w:t>previstos en la Ley para las dispensaciones fuera del sistema público.</w:t>
      </w:r>
    </w:p>
    <w:p w:rsidR="004E3B09" w:rsidRDefault="004E3B09" w:rsidP="004E3B09">
      <w:pPr>
        <w:pStyle w:val="Cuerpo"/>
        <w:rPr>
          <w:color w:val="auto"/>
          <w:u w:color="008080"/>
        </w:rPr>
      </w:pPr>
    </w:p>
    <w:p w:rsidR="00E5620B" w:rsidRDefault="00E5620B">
      <w:pPr>
        <w:pStyle w:val="Cuerpo"/>
        <w:rPr>
          <w:rStyle w:val="Ninguno"/>
          <w:rFonts w:ascii="Arial Black" w:hAnsi="Arial Black"/>
          <w:color w:val="008080"/>
          <w:u w:color="008080"/>
        </w:rPr>
      </w:pPr>
      <w:r>
        <w:rPr>
          <w:rStyle w:val="Ninguno"/>
          <w:rFonts w:ascii="Arial Black" w:hAnsi="Arial Black"/>
          <w:color w:val="008080"/>
          <w:u w:color="008080"/>
        </w:rPr>
        <w:lastRenderedPageBreak/>
        <w:t>Mercado Hospitalario</w:t>
      </w:r>
    </w:p>
    <w:p w:rsidR="00F617C4" w:rsidRDefault="00F617C4">
      <w:pPr>
        <w:pStyle w:val="Cuerpo"/>
        <w:rPr>
          <w:rStyle w:val="Ninguno"/>
          <w:color w:val="auto"/>
          <w:u w:color="008080"/>
        </w:rPr>
      </w:pPr>
    </w:p>
    <w:p w:rsidR="00E43ED9" w:rsidRDefault="00E43ED9" w:rsidP="00100FCB">
      <w:pPr>
        <w:pStyle w:val="Cuerpo"/>
        <w:jc w:val="both"/>
        <w:rPr>
          <w:rStyle w:val="Ninguno"/>
          <w:color w:val="auto"/>
          <w:u w:color="008080"/>
        </w:rPr>
      </w:pPr>
      <w:r>
        <w:rPr>
          <w:rStyle w:val="Ninguno"/>
          <w:color w:val="auto"/>
          <w:u w:color="008080"/>
        </w:rPr>
        <w:t>El mercado hospitalario es el único que ha crecido durante los peores años de la crisis económica como lo atestiguan los datos ofrecido por la consultora QuintilesIMS.</w:t>
      </w:r>
    </w:p>
    <w:p w:rsidR="00E43ED9" w:rsidRDefault="00E43ED9">
      <w:pPr>
        <w:pStyle w:val="Cuerpo"/>
        <w:rPr>
          <w:rStyle w:val="Ninguno"/>
          <w:color w:val="auto"/>
          <w:u w:color="008080"/>
        </w:rPr>
      </w:pPr>
    </w:p>
    <w:p w:rsidR="00E43ED9" w:rsidRDefault="00E43ED9">
      <w:pPr>
        <w:pStyle w:val="Cuerpo"/>
        <w:rPr>
          <w:rStyle w:val="Ninguno"/>
          <w:color w:val="auto"/>
          <w:u w:color="008080"/>
        </w:rPr>
      </w:pPr>
      <w:r w:rsidRPr="00E43ED9">
        <w:rPr>
          <w:noProof/>
          <w:color w:val="auto"/>
          <w:u w:color="008080"/>
        </w:rPr>
        <w:drawing>
          <wp:inline distT="0" distB="0" distL="0" distR="0">
            <wp:extent cx="5612130" cy="2817495"/>
            <wp:effectExtent l="0" t="0" r="7620" b="1905"/>
            <wp:docPr id="17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 name="Picture 1"/>
                    <pic:cNvPicPr>
                      <a:picLocks noChangeAspect="1" noChangeArrowheads="1"/>
                    </pic:cNvPicPr>
                  </pic:nvPicPr>
                  <pic:blipFill>
                    <a:blip r:embed="rId16" cstate="print"/>
                    <a:srcRect/>
                    <a:stretch>
                      <a:fillRect/>
                    </a:stretch>
                  </pic:blipFill>
                  <pic:spPr bwMode="auto">
                    <a:xfrm>
                      <a:off x="0" y="0"/>
                      <a:ext cx="5612130" cy="2817495"/>
                    </a:xfrm>
                    <a:prstGeom prst="rect">
                      <a:avLst/>
                    </a:prstGeom>
                    <a:noFill/>
                    <a:ln w="9525">
                      <a:noFill/>
                      <a:miter lim="800000"/>
                      <a:headEnd/>
                      <a:tailEnd/>
                    </a:ln>
                  </pic:spPr>
                </pic:pic>
              </a:graphicData>
            </a:graphic>
          </wp:inline>
        </w:drawing>
      </w:r>
    </w:p>
    <w:p w:rsidR="00E43ED9" w:rsidRDefault="00E43ED9">
      <w:pPr>
        <w:pStyle w:val="Cuerpo"/>
        <w:rPr>
          <w:rStyle w:val="Ninguno"/>
          <w:color w:val="auto"/>
          <w:u w:color="008080"/>
        </w:rPr>
      </w:pPr>
    </w:p>
    <w:p w:rsidR="00E43ED9" w:rsidRDefault="00E43ED9" w:rsidP="00100FCB">
      <w:pPr>
        <w:pStyle w:val="Cuerpo"/>
        <w:jc w:val="both"/>
        <w:rPr>
          <w:rStyle w:val="Ninguno"/>
          <w:color w:val="auto"/>
          <w:u w:color="008080"/>
        </w:rPr>
      </w:pPr>
      <w:r>
        <w:rPr>
          <w:rStyle w:val="Ninguno"/>
          <w:color w:val="auto"/>
          <w:u w:color="008080"/>
        </w:rPr>
        <w:t>La evolución del mercado hospitalario hay que considerarla como mínimo anormal en los últimos años. El hecho</w:t>
      </w:r>
      <w:r w:rsidR="008B0CBC">
        <w:rPr>
          <w:rStyle w:val="Ninguno"/>
          <w:color w:val="auto"/>
          <w:u w:color="008080"/>
        </w:rPr>
        <w:t xml:space="preserve"> de que la mayor parte del</w:t>
      </w:r>
      <w:r>
        <w:rPr>
          <w:rStyle w:val="Ninguno"/>
          <w:color w:val="auto"/>
          <w:u w:color="008080"/>
        </w:rPr>
        <w:t xml:space="preserve"> </w:t>
      </w:r>
      <w:r w:rsidR="001802AC">
        <w:rPr>
          <w:rStyle w:val="Ninguno"/>
          <w:color w:val="auto"/>
          <w:u w:color="008080"/>
        </w:rPr>
        <w:t xml:space="preserve">gasto </w:t>
      </w:r>
      <w:r>
        <w:rPr>
          <w:rStyle w:val="Ninguno"/>
          <w:color w:val="auto"/>
          <w:u w:color="008080"/>
        </w:rPr>
        <w:t xml:space="preserve">hospitalario en medicamentos se dedique a pacientes </w:t>
      </w:r>
      <w:r w:rsidRPr="00100FCB">
        <w:rPr>
          <w:rStyle w:val="Ninguno"/>
          <w:b/>
          <w:color w:val="auto"/>
          <w:u w:color="008080"/>
        </w:rPr>
        <w:t>no hospitalizados o ambulantes</w:t>
      </w:r>
      <w:r>
        <w:rPr>
          <w:rStyle w:val="Ninguno"/>
          <w:color w:val="auto"/>
          <w:u w:color="008080"/>
        </w:rPr>
        <w:t xml:space="preserve"> ha tenido, y tiene, consecuencias sobre los pacientes que se ven obligados a desplazamientos y pérdida de jornadas de trabajo.</w:t>
      </w:r>
    </w:p>
    <w:p w:rsidR="00E43ED9" w:rsidRDefault="00E43ED9">
      <w:pPr>
        <w:pStyle w:val="Cuerpo"/>
        <w:rPr>
          <w:rStyle w:val="Ninguno"/>
          <w:color w:val="auto"/>
          <w:u w:color="008080"/>
        </w:rPr>
      </w:pPr>
    </w:p>
    <w:p w:rsidR="00226C42" w:rsidRDefault="00E43ED9">
      <w:pPr>
        <w:pStyle w:val="Cuerpo"/>
        <w:rPr>
          <w:rStyle w:val="Ninguno"/>
          <w:color w:val="auto"/>
          <w:u w:color="008080"/>
        </w:rPr>
      </w:pPr>
      <w:r w:rsidRPr="00E43ED9">
        <w:rPr>
          <w:noProof/>
          <w:color w:val="auto"/>
          <w:u w:color="008080"/>
        </w:rPr>
        <w:drawing>
          <wp:inline distT="0" distB="0" distL="0" distR="0">
            <wp:extent cx="5612130" cy="2741930"/>
            <wp:effectExtent l="0" t="0" r="7620" b="1270"/>
            <wp:docPr id="16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 name="Picture 1"/>
                    <pic:cNvPicPr>
                      <a:picLocks noChangeAspect="1" noChangeArrowheads="1"/>
                    </pic:cNvPicPr>
                  </pic:nvPicPr>
                  <pic:blipFill>
                    <a:blip r:embed="rId17" cstate="print"/>
                    <a:srcRect/>
                    <a:stretch>
                      <a:fillRect/>
                    </a:stretch>
                  </pic:blipFill>
                  <pic:spPr bwMode="auto">
                    <a:xfrm>
                      <a:off x="0" y="0"/>
                      <a:ext cx="5612130" cy="2741930"/>
                    </a:xfrm>
                    <a:prstGeom prst="rect">
                      <a:avLst/>
                    </a:prstGeom>
                    <a:noFill/>
                    <a:ln w="9525">
                      <a:noFill/>
                      <a:miter lim="800000"/>
                      <a:headEnd/>
                      <a:tailEnd/>
                    </a:ln>
                  </pic:spPr>
                </pic:pic>
              </a:graphicData>
            </a:graphic>
          </wp:inline>
        </w:drawing>
      </w:r>
    </w:p>
    <w:p w:rsidR="008B0CBC" w:rsidRDefault="00100FCB" w:rsidP="00100FCB">
      <w:pPr>
        <w:pStyle w:val="Cuerpo"/>
        <w:jc w:val="both"/>
        <w:rPr>
          <w:rStyle w:val="Ninguno"/>
          <w:color w:val="auto"/>
          <w:u w:color="008080"/>
        </w:rPr>
      </w:pPr>
      <w:r>
        <w:rPr>
          <w:rStyle w:val="Ninguno"/>
          <w:color w:val="auto"/>
          <w:u w:color="008080"/>
        </w:rPr>
        <w:t xml:space="preserve">La causa a que se puede atribuir el crecimiento del mercado hospitalario es que a las Administraciones Sanitarias les resultaba más fácil dejar de pagar los medicamentos adquiridos por los hospitales, frente a los compromisos más </w:t>
      </w:r>
      <w:r>
        <w:rPr>
          <w:rStyle w:val="Ninguno"/>
          <w:color w:val="auto"/>
          <w:u w:color="008080"/>
        </w:rPr>
        <w:lastRenderedPageBreak/>
        <w:t>perentorios que se deduc</w:t>
      </w:r>
      <w:r w:rsidR="008B0CBC">
        <w:rPr>
          <w:rStyle w:val="Ninguno"/>
          <w:color w:val="auto"/>
          <w:u w:color="008080"/>
        </w:rPr>
        <w:t>ían</w:t>
      </w:r>
      <w:r>
        <w:rPr>
          <w:rStyle w:val="Ninguno"/>
          <w:color w:val="auto"/>
          <w:u w:color="008080"/>
        </w:rPr>
        <w:t xml:space="preserve"> de los Conciertos firmados con las Corporaciones Farmacéuticas, sin embargo esta situación terminó con los Planes de Pago a Proveedores y el FLA. </w:t>
      </w:r>
    </w:p>
    <w:p w:rsidR="008B0CBC" w:rsidRDefault="008B0CBC" w:rsidP="00100FCB">
      <w:pPr>
        <w:pStyle w:val="Cuerpo"/>
        <w:jc w:val="both"/>
        <w:rPr>
          <w:rStyle w:val="Ninguno"/>
          <w:color w:val="auto"/>
          <w:u w:color="008080"/>
        </w:rPr>
      </w:pPr>
    </w:p>
    <w:p w:rsidR="00100FCB" w:rsidRDefault="00100FCB" w:rsidP="00100FCB">
      <w:pPr>
        <w:pStyle w:val="Cuerpo"/>
        <w:jc w:val="both"/>
        <w:rPr>
          <w:rStyle w:val="Ninguno"/>
          <w:color w:val="auto"/>
          <w:u w:color="008080"/>
        </w:rPr>
      </w:pPr>
      <w:r>
        <w:rPr>
          <w:rStyle w:val="Ninguno"/>
          <w:color w:val="auto"/>
          <w:u w:color="008080"/>
        </w:rPr>
        <w:t>En algunas Comunidades Autónomas se está produciendo una lenta pero sensible vuelta a la dispensación en las farmacias de los medicamentos que antes se dispensaban en los hospitales y a ello han contribuido tanto la especificación legal de cuáles son los medicamentos reservados a la dispensación hospitalaria como diversas sentencias de Tribunales Superiores de Justicia o el propio Tribunal Supremo.</w:t>
      </w:r>
    </w:p>
    <w:p w:rsidR="00100FCB" w:rsidRDefault="00100FCB" w:rsidP="00100FCB">
      <w:pPr>
        <w:pStyle w:val="Cuerpo"/>
        <w:jc w:val="both"/>
        <w:rPr>
          <w:rStyle w:val="Ninguno"/>
          <w:color w:val="auto"/>
          <w:u w:color="008080"/>
        </w:rPr>
      </w:pPr>
    </w:p>
    <w:p w:rsidR="00100FCB" w:rsidRDefault="00100FCB" w:rsidP="00100FCB">
      <w:pPr>
        <w:pStyle w:val="Cuerpo"/>
        <w:jc w:val="both"/>
        <w:rPr>
          <w:rStyle w:val="Ninguno"/>
          <w:color w:val="auto"/>
          <w:u w:color="008080"/>
        </w:rPr>
      </w:pPr>
      <w:r>
        <w:rPr>
          <w:rStyle w:val="Ninguno"/>
          <w:color w:val="auto"/>
          <w:u w:color="008080"/>
        </w:rPr>
        <w:t>No obstante lo anterior, el mercado hospitalario va a continuar creciendo por encima del de las oficinas de farmacia, por la introducción de nuevos productos reservados a este ámbito</w:t>
      </w:r>
      <w:r w:rsidR="008515C9">
        <w:rPr>
          <w:rStyle w:val="Ninguno"/>
          <w:color w:val="auto"/>
          <w:u w:color="008080"/>
        </w:rPr>
        <w:t xml:space="preserve"> como lo pone de manifiesto la consultora QuintilesIMS</w:t>
      </w:r>
      <w:r>
        <w:rPr>
          <w:rStyle w:val="Ninguno"/>
          <w:color w:val="auto"/>
          <w:u w:color="008080"/>
        </w:rPr>
        <w:t>.</w:t>
      </w:r>
    </w:p>
    <w:p w:rsidR="00100FCB" w:rsidRDefault="00100FCB" w:rsidP="00100FCB">
      <w:pPr>
        <w:pStyle w:val="Cuerpo"/>
        <w:jc w:val="both"/>
        <w:rPr>
          <w:rStyle w:val="Ninguno"/>
          <w:color w:val="auto"/>
          <w:u w:color="008080"/>
        </w:rPr>
      </w:pPr>
    </w:p>
    <w:p w:rsidR="00100FCB" w:rsidRDefault="00100FCB" w:rsidP="00100FCB">
      <w:pPr>
        <w:pStyle w:val="Cuerpo"/>
        <w:jc w:val="both"/>
        <w:rPr>
          <w:rStyle w:val="Ninguno"/>
          <w:color w:val="auto"/>
          <w:u w:color="008080"/>
        </w:rPr>
      </w:pPr>
      <w:r w:rsidRPr="00100FCB">
        <w:rPr>
          <w:noProof/>
          <w:color w:val="auto"/>
          <w:u w:color="008080"/>
        </w:rPr>
        <w:drawing>
          <wp:inline distT="0" distB="0" distL="0" distR="0">
            <wp:extent cx="5612130" cy="2971800"/>
            <wp:effectExtent l="0" t="0" r="7620" b="0"/>
            <wp:docPr id="14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 name="Picture 1"/>
                    <pic:cNvPicPr>
                      <a:picLocks noChangeAspect="1" noChangeArrowheads="1"/>
                    </pic:cNvPicPr>
                  </pic:nvPicPr>
                  <pic:blipFill>
                    <a:blip r:embed="rId18" cstate="print"/>
                    <a:srcRect/>
                    <a:stretch>
                      <a:fillRect/>
                    </a:stretch>
                  </pic:blipFill>
                  <pic:spPr bwMode="auto">
                    <a:xfrm>
                      <a:off x="0" y="0"/>
                      <a:ext cx="5612130" cy="2971800"/>
                    </a:xfrm>
                    <a:prstGeom prst="rect">
                      <a:avLst/>
                    </a:prstGeom>
                    <a:noFill/>
                    <a:ln w="9525">
                      <a:noFill/>
                      <a:miter lim="800000"/>
                      <a:headEnd/>
                      <a:tailEnd/>
                    </a:ln>
                  </pic:spPr>
                </pic:pic>
              </a:graphicData>
            </a:graphic>
          </wp:inline>
        </w:drawing>
      </w:r>
    </w:p>
    <w:p w:rsidR="00100FCB" w:rsidRDefault="00100FCB" w:rsidP="00100FCB">
      <w:pPr>
        <w:pStyle w:val="Cuerpo"/>
        <w:jc w:val="both"/>
        <w:rPr>
          <w:rStyle w:val="Ninguno"/>
          <w:color w:val="auto"/>
          <w:u w:color="008080"/>
        </w:rPr>
      </w:pPr>
    </w:p>
    <w:p w:rsidR="00E43ED9" w:rsidRDefault="008515C9" w:rsidP="00100FCB">
      <w:pPr>
        <w:pStyle w:val="Cuerpo"/>
        <w:jc w:val="both"/>
        <w:rPr>
          <w:rStyle w:val="Ninguno"/>
          <w:color w:val="auto"/>
          <w:u w:color="008080"/>
        </w:rPr>
      </w:pPr>
      <w:r>
        <w:rPr>
          <w:rStyle w:val="Ninguno"/>
          <w:color w:val="auto"/>
          <w:u w:color="008080"/>
        </w:rPr>
        <w:t>Entre los factores de crecimiento que indica esta consultora se encuentra, además del envejecimiento de la población, el lanzamiento de medicamentos innovadores y considerados huérfanos.</w:t>
      </w:r>
    </w:p>
    <w:p w:rsidR="008515C9" w:rsidRDefault="008515C9" w:rsidP="00100FCB">
      <w:pPr>
        <w:pStyle w:val="Cuerpo"/>
        <w:jc w:val="both"/>
        <w:rPr>
          <w:rStyle w:val="Ninguno"/>
          <w:color w:val="auto"/>
          <w:u w:color="008080"/>
        </w:rPr>
      </w:pPr>
    </w:p>
    <w:p w:rsidR="008B0CBC" w:rsidRDefault="008515C9" w:rsidP="00100FCB">
      <w:pPr>
        <w:pStyle w:val="Cuerpo"/>
        <w:jc w:val="both"/>
        <w:rPr>
          <w:rStyle w:val="Ninguno"/>
          <w:color w:val="auto"/>
          <w:u w:color="008080"/>
        </w:rPr>
      </w:pPr>
      <w:r>
        <w:rPr>
          <w:rStyle w:val="Ninguno"/>
          <w:color w:val="auto"/>
          <w:u w:color="008080"/>
        </w:rPr>
        <w:t xml:space="preserve">Dese FEFE se considera un error someter a una población cada vez más envejecida a la atención ambulatoria en hospitales, una cuestión que debería resolverse en su entorno de vida tanto por la atención de medicina familiar y especializada, así como por las farmacias de proximidad. </w:t>
      </w:r>
    </w:p>
    <w:p w:rsidR="008B0CBC" w:rsidRDefault="008B0CBC" w:rsidP="00100FCB">
      <w:pPr>
        <w:pStyle w:val="Cuerpo"/>
        <w:jc w:val="both"/>
        <w:rPr>
          <w:rStyle w:val="Ninguno"/>
          <w:color w:val="auto"/>
          <w:u w:color="008080"/>
        </w:rPr>
      </w:pPr>
    </w:p>
    <w:p w:rsidR="008515C9" w:rsidRDefault="008515C9" w:rsidP="00100FCB">
      <w:pPr>
        <w:pStyle w:val="Cuerpo"/>
        <w:jc w:val="both"/>
        <w:rPr>
          <w:rStyle w:val="Ninguno"/>
          <w:color w:val="auto"/>
          <w:u w:color="008080"/>
        </w:rPr>
      </w:pPr>
      <w:r>
        <w:rPr>
          <w:rStyle w:val="Ninguno"/>
          <w:color w:val="auto"/>
          <w:u w:color="008080"/>
        </w:rPr>
        <w:t xml:space="preserve">El abuso del hospitalocentrismo puede tener también consecuencias en la atención principal que deben prestar los hospitales </w:t>
      </w:r>
      <w:r w:rsidR="008B0CBC">
        <w:rPr>
          <w:rStyle w:val="Ninguno"/>
          <w:color w:val="auto"/>
          <w:u w:color="008080"/>
        </w:rPr>
        <w:t>en procesos agudos, y un desmesurado aumento de costes que, por ahora, son mucho más opacos que los de las recetas.</w:t>
      </w:r>
    </w:p>
    <w:p w:rsidR="008B0CBC" w:rsidRDefault="008B0CBC" w:rsidP="00100FCB">
      <w:pPr>
        <w:pStyle w:val="Cuerpo"/>
        <w:jc w:val="both"/>
        <w:rPr>
          <w:rStyle w:val="Ninguno"/>
          <w:color w:val="auto"/>
          <w:u w:color="008080"/>
        </w:rPr>
      </w:pPr>
    </w:p>
    <w:p w:rsidR="008B0CBC" w:rsidRDefault="008B0CBC" w:rsidP="00100FCB">
      <w:pPr>
        <w:pStyle w:val="Cuerpo"/>
        <w:jc w:val="both"/>
        <w:rPr>
          <w:rStyle w:val="Ninguno"/>
          <w:color w:val="auto"/>
          <w:u w:color="008080"/>
        </w:rPr>
      </w:pPr>
    </w:p>
    <w:p w:rsidR="007F59ED" w:rsidRPr="00DC0318" w:rsidRDefault="00063C1D">
      <w:pPr>
        <w:pStyle w:val="Cuerpo"/>
        <w:shd w:val="clear" w:color="auto" w:fill="FFFFFF"/>
        <w:jc w:val="both"/>
        <w:rPr>
          <w:rStyle w:val="Ninguno"/>
          <w:color w:val="008080"/>
        </w:rPr>
      </w:pPr>
      <w:r w:rsidRPr="00DC0318">
        <w:rPr>
          <w:rStyle w:val="Ninguno"/>
          <w:rFonts w:ascii="Arial Black" w:hAnsi="Arial Black"/>
          <w:color w:val="008080"/>
          <w:u w:color="377395"/>
          <w:lang w:val="es-ES"/>
        </w:rPr>
        <w:lastRenderedPageBreak/>
        <w:t>Pronó</w:t>
      </w:r>
      <w:r w:rsidRPr="00DC0318">
        <w:rPr>
          <w:rStyle w:val="Ninguno"/>
          <w:rFonts w:ascii="Arial Black" w:hAnsi="Arial Black"/>
          <w:color w:val="008080"/>
          <w:u w:color="377395"/>
          <w:lang w:val="it-IT"/>
        </w:rPr>
        <w:t xml:space="preserve">stico: </w:t>
      </w:r>
    </w:p>
    <w:p w:rsidR="007F59ED" w:rsidRDefault="007F59ED">
      <w:pPr>
        <w:pStyle w:val="Cuerpo"/>
        <w:jc w:val="both"/>
        <w:rPr>
          <w:rStyle w:val="Ninguno"/>
          <w:color w:val="008080"/>
          <w:sz w:val="18"/>
          <w:szCs w:val="18"/>
          <w:u w:color="008080"/>
        </w:rPr>
      </w:pPr>
    </w:p>
    <w:p w:rsidR="007F59ED" w:rsidRDefault="00063C1D">
      <w:pPr>
        <w:pStyle w:val="Cuerpo"/>
        <w:jc w:val="both"/>
        <w:rPr>
          <w:rStyle w:val="Ninguno"/>
          <w:b/>
          <w:bCs/>
          <w:sz w:val="22"/>
          <w:szCs w:val="22"/>
        </w:rPr>
      </w:pPr>
      <w:r>
        <w:rPr>
          <w:rStyle w:val="Ninguno"/>
          <w:sz w:val="22"/>
          <w:szCs w:val="22"/>
        </w:rPr>
        <w:t xml:space="preserve">Los datos de consumo de medicamentos en el mes de </w:t>
      </w:r>
      <w:r w:rsidR="000E799E">
        <w:rPr>
          <w:rStyle w:val="Ninguno"/>
          <w:sz w:val="22"/>
          <w:szCs w:val="22"/>
        </w:rPr>
        <w:t>Marzo</w:t>
      </w:r>
      <w:r>
        <w:rPr>
          <w:rStyle w:val="Ninguno"/>
          <w:sz w:val="22"/>
          <w:szCs w:val="22"/>
        </w:rPr>
        <w:t xml:space="preserve"> de 2017, ponen de manifiesto que, </w:t>
      </w:r>
      <w:r w:rsidR="008B0CBC">
        <w:rPr>
          <w:rStyle w:val="Ninguno"/>
          <w:sz w:val="22"/>
          <w:szCs w:val="22"/>
        </w:rPr>
        <w:t>el mercado continúa creciendo.</w:t>
      </w:r>
      <w:r>
        <w:rPr>
          <w:rStyle w:val="Ninguno"/>
          <w:sz w:val="22"/>
          <w:szCs w:val="22"/>
        </w:rPr>
        <w:t xml:space="preserve"> Prueba de ello es que el mercado aumenta en </w:t>
      </w:r>
      <w:r>
        <w:rPr>
          <w:rStyle w:val="Ninguno"/>
          <w:b/>
          <w:bCs/>
          <w:sz w:val="22"/>
          <w:szCs w:val="22"/>
        </w:rPr>
        <w:t>t</w:t>
      </w:r>
      <w:r>
        <w:rPr>
          <w:rStyle w:val="Ninguno"/>
          <w:b/>
          <w:bCs/>
          <w:sz w:val="22"/>
          <w:szCs w:val="22"/>
          <w:lang w:val="fr-FR"/>
        </w:rPr>
        <w:t>é</w:t>
      </w:r>
      <w:r>
        <w:rPr>
          <w:rStyle w:val="Ninguno"/>
          <w:b/>
          <w:bCs/>
          <w:sz w:val="22"/>
          <w:szCs w:val="22"/>
        </w:rPr>
        <w:t xml:space="preserve">rminos anuales y alcanza este mes los </w:t>
      </w:r>
      <w:r w:rsidR="008B0CBC">
        <w:rPr>
          <w:rStyle w:val="Ninguno"/>
          <w:b/>
          <w:bCs/>
          <w:sz w:val="22"/>
          <w:szCs w:val="22"/>
        </w:rPr>
        <w:t xml:space="preserve">10.000,8 </w:t>
      </w:r>
      <w:r>
        <w:rPr>
          <w:rStyle w:val="Ninguno"/>
          <w:b/>
          <w:bCs/>
          <w:sz w:val="22"/>
          <w:szCs w:val="22"/>
        </w:rPr>
        <w:t>millones de euros respecto a los doce meses anteriores, con un crecimiento neto de 3</w:t>
      </w:r>
      <w:r w:rsidR="008B0CBC">
        <w:rPr>
          <w:rStyle w:val="Ninguno"/>
          <w:b/>
          <w:bCs/>
          <w:sz w:val="22"/>
          <w:szCs w:val="22"/>
        </w:rPr>
        <w:t>91</w:t>
      </w:r>
      <w:r>
        <w:rPr>
          <w:rStyle w:val="Ninguno"/>
          <w:b/>
          <w:bCs/>
          <w:sz w:val="22"/>
          <w:szCs w:val="22"/>
        </w:rPr>
        <w:t xml:space="preserve"> millones respecto al añ</w:t>
      </w:r>
      <w:r>
        <w:rPr>
          <w:rStyle w:val="Ninguno"/>
          <w:b/>
          <w:bCs/>
          <w:sz w:val="22"/>
          <w:szCs w:val="22"/>
          <w:lang w:val="pt-PT"/>
        </w:rPr>
        <w:t>o anterior.</w:t>
      </w:r>
      <w:r w:rsidR="008B0CBC">
        <w:rPr>
          <w:rStyle w:val="Ninguno"/>
          <w:b/>
          <w:bCs/>
          <w:sz w:val="22"/>
          <w:szCs w:val="22"/>
          <w:lang w:val="pt-PT"/>
        </w:rPr>
        <w:t xml:space="preserve"> </w:t>
      </w:r>
    </w:p>
    <w:p w:rsidR="007F59ED" w:rsidRDefault="00063C1D">
      <w:pPr>
        <w:pStyle w:val="Cuerpo"/>
        <w:jc w:val="both"/>
        <w:rPr>
          <w:rStyle w:val="Ninguno"/>
          <w:b/>
          <w:bCs/>
          <w:sz w:val="20"/>
          <w:szCs w:val="20"/>
        </w:rPr>
      </w:pPr>
      <w:r>
        <w:rPr>
          <w:rStyle w:val="Ninguno"/>
          <w:b/>
          <w:bCs/>
          <w:sz w:val="22"/>
          <w:szCs w:val="22"/>
        </w:rPr>
        <w:t xml:space="preserve"> </w:t>
      </w:r>
    </w:p>
    <w:p w:rsidR="007F59ED" w:rsidRDefault="00063C1D">
      <w:pPr>
        <w:pStyle w:val="Cuerpo"/>
        <w:jc w:val="both"/>
        <w:rPr>
          <w:rStyle w:val="Ninguno"/>
          <w:b/>
          <w:bCs/>
          <w:sz w:val="22"/>
          <w:szCs w:val="22"/>
        </w:rPr>
      </w:pPr>
      <w:r>
        <w:rPr>
          <w:rStyle w:val="Ninguno"/>
          <w:sz w:val="22"/>
          <w:szCs w:val="22"/>
        </w:rPr>
        <w:t xml:space="preserve">En este Observatorio se actualiza la evolución del consumo de recetas como indicador de la demanda, donde </w:t>
      </w:r>
      <w:r>
        <w:rPr>
          <w:rStyle w:val="Ninguno"/>
          <w:b/>
          <w:bCs/>
          <w:sz w:val="22"/>
          <w:szCs w:val="22"/>
        </w:rPr>
        <w:t>se ha producido un aumento en t</w:t>
      </w:r>
      <w:r>
        <w:rPr>
          <w:rStyle w:val="Ninguno"/>
          <w:b/>
          <w:bCs/>
          <w:sz w:val="22"/>
          <w:szCs w:val="22"/>
          <w:lang w:val="fr-FR"/>
        </w:rPr>
        <w:t>é</w:t>
      </w:r>
      <w:r>
        <w:rPr>
          <w:rStyle w:val="Ninguno"/>
          <w:b/>
          <w:bCs/>
          <w:sz w:val="22"/>
          <w:szCs w:val="22"/>
        </w:rPr>
        <w:t xml:space="preserve">rminos anuales de </w:t>
      </w:r>
      <w:r>
        <w:rPr>
          <w:rStyle w:val="Ninguno"/>
          <w:sz w:val="22"/>
          <w:szCs w:val="22"/>
        </w:rPr>
        <w:t xml:space="preserve"> </w:t>
      </w:r>
      <w:r w:rsidR="000F3ADB">
        <w:rPr>
          <w:rStyle w:val="Ninguno"/>
          <w:b/>
          <w:bCs/>
          <w:sz w:val="22"/>
          <w:szCs w:val="22"/>
        </w:rPr>
        <w:t>21,5</w:t>
      </w:r>
      <w:r>
        <w:rPr>
          <w:rStyle w:val="Ninguno"/>
          <w:sz w:val="22"/>
          <w:szCs w:val="22"/>
        </w:rPr>
        <w:t xml:space="preserve"> </w:t>
      </w:r>
      <w:r>
        <w:rPr>
          <w:rStyle w:val="Ninguno"/>
          <w:b/>
          <w:bCs/>
          <w:sz w:val="22"/>
          <w:szCs w:val="22"/>
        </w:rPr>
        <w:t xml:space="preserve">millones de recetas.  </w:t>
      </w:r>
      <w:r>
        <w:rPr>
          <w:rStyle w:val="Ninguno"/>
          <w:sz w:val="22"/>
          <w:szCs w:val="22"/>
        </w:rPr>
        <w:t>Tambi</w:t>
      </w:r>
      <w:r>
        <w:rPr>
          <w:rStyle w:val="Ninguno"/>
          <w:sz w:val="22"/>
          <w:szCs w:val="22"/>
          <w:lang w:val="fr-FR"/>
        </w:rPr>
        <w:t>é</w:t>
      </w:r>
      <w:r>
        <w:rPr>
          <w:rStyle w:val="Ninguno"/>
          <w:sz w:val="22"/>
          <w:szCs w:val="22"/>
        </w:rPr>
        <w:t>n en este</w:t>
      </w:r>
      <w:r>
        <w:rPr>
          <w:rStyle w:val="Ninguno"/>
          <w:b/>
          <w:bCs/>
          <w:sz w:val="22"/>
          <w:szCs w:val="22"/>
        </w:rPr>
        <w:t xml:space="preserve"> </w:t>
      </w:r>
      <w:r>
        <w:rPr>
          <w:rStyle w:val="Ninguno"/>
          <w:sz w:val="22"/>
          <w:szCs w:val="22"/>
        </w:rPr>
        <w:t xml:space="preserve"> mes, el gasto medio por receta aumenta en  un 2,</w:t>
      </w:r>
      <w:r w:rsidR="000F3ADB">
        <w:rPr>
          <w:rStyle w:val="Ninguno"/>
          <w:sz w:val="22"/>
          <w:szCs w:val="22"/>
        </w:rPr>
        <w:t>41</w:t>
      </w:r>
      <w:r>
        <w:rPr>
          <w:rStyle w:val="Ninguno"/>
          <w:b/>
          <w:bCs/>
          <w:sz w:val="22"/>
          <w:szCs w:val="22"/>
        </w:rPr>
        <w:t>%, sin duda porque el impacto de los nuevos precios de referencia ha resultado muy limitado.</w:t>
      </w:r>
    </w:p>
    <w:p w:rsidR="007F59ED" w:rsidRDefault="007F59ED">
      <w:pPr>
        <w:pStyle w:val="Cuerpo"/>
        <w:jc w:val="both"/>
        <w:rPr>
          <w:rStyle w:val="Ninguno"/>
          <w:b/>
          <w:bCs/>
          <w:sz w:val="22"/>
          <w:szCs w:val="22"/>
        </w:rPr>
      </w:pPr>
    </w:p>
    <w:p w:rsidR="007F59ED" w:rsidRDefault="00063C1D">
      <w:pPr>
        <w:pStyle w:val="Cuerpo"/>
        <w:jc w:val="both"/>
        <w:rPr>
          <w:rStyle w:val="Ninguno"/>
          <w:b/>
          <w:bCs/>
          <w:sz w:val="22"/>
          <w:szCs w:val="22"/>
        </w:rPr>
      </w:pPr>
      <w:r>
        <w:rPr>
          <w:rStyle w:val="Ninguno"/>
          <w:sz w:val="22"/>
          <w:szCs w:val="22"/>
        </w:rPr>
        <w:t xml:space="preserve">Es importante destacar que el aumento de recetas y gasto no logra recuperar los niveles del año 2009. </w:t>
      </w:r>
      <w:r>
        <w:rPr>
          <w:rStyle w:val="Ninguno"/>
          <w:b/>
          <w:bCs/>
          <w:sz w:val="22"/>
          <w:szCs w:val="22"/>
        </w:rPr>
        <w:t xml:space="preserve">Al consumo de 2017 le faltan todavía </w:t>
      </w:r>
      <w:r>
        <w:rPr>
          <w:rStyle w:val="Ninguno"/>
          <w:b/>
          <w:bCs/>
        </w:rPr>
        <w:t>2.5</w:t>
      </w:r>
      <w:r w:rsidR="000F3ADB">
        <w:rPr>
          <w:rStyle w:val="Ninguno"/>
          <w:b/>
          <w:bCs/>
        </w:rPr>
        <w:t>00</w:t>
      </w:r>
      <w:r>
        <w:rPr>
          <w:rStyle w:val="Ninguno"/>
          <w:b/>
          <w:bCs/>
        </w:rPr>
        <w:t xml:space="preserve"> </w:t>
      </w:r>
      <w:r>
        <w:rPr>
          <w:rStyle w:val="Ninguno"/>
          <w:b/>
          <w:bCs/>
          <w:sz w:val="22"/>
          <w:szCs w:val="22"/>
        </w:rPr>
        <w:t>millones para alcanzar el que había en 2009 – un (20%) mas -, y si el aumento anual de los pró</w:t>
      </w:r>
      <w:r>
        <w:rPr>
          <w:rStyle w:val="Ninguno"/>
          <w:b/>
          <w:bCs/>
          <w:sz w:val="22"/>
          <w:szCs w:val="22"/>
          <w:lang w:val="pt-PT"/>
        </w:rPr>
        <w:t>ximos a</w:t>
      </w:r>
      <w:r>
        <w:rPr>
          <w:rStyle w:val="Ninguno"/>
          <w:b/>
          <w:bCs/>
          <w:sz w:val="22"/>
          <w:szCs w:val="22"/>
        </w:rPr>
        <w:t>ños es el mismo, el mercado de 2009 se recuperará en el año 2023, dentro de siete añ</w:t>
      </w:r>
      <w:r>
        <w:rPr>
          <w:rStyle w:val="Ninguno"/>
          <w:b/>
          <w:bCs/>
          <w:sz w:val="22"/>
          <w:szCs w:val="22"/>
          <w:lang w:val="pt-PT"/>
        </w:rPr>
        <w:t>os.</w:t>
      </w:r>
      <w:r w:rsidR="000F3ADB">
        <w:rPr>
          <w:rStyle w:val="Ninguno"/>
          <w:b/>
          <w:bCs/>
          <w:sz w:val="22"/>
          <w:szCs w:val="22"/>
          <w:lang w:val="pt-PT"/>
        </w:rPr>
        <w:t xml:space="preserve"> </w:t>
      </w:r>
      <w:r>
        <w:rPr>
          <w:rStyle w:val="Ninguno"/>
          <w:b/>
          <w:bCs/>
          <w:sz w:val="22"/>
          <w:szCs w:val="22"/>
          <w:lang w:val="pt-PT"/>
        </w:rPr>
        <w:t>Esta situaci</w:t>
      </w:r>
      <w:r>
        <w:rPr>
          <w:rStyle w:val="Ninguno"/>
          <w:b/>
          <w:bCs/>
          <w:sz w:val="22"/>
          <w:szCs w:val="22"/>
        </w:rPr>
        <w:t>ón está influyendo muy negativamente en el dispositivo asistencial farmac</w:t>
      </w:r>
      <w:r>
        <w:rPr>
          <w:rStyle w:val="Ninguno"/>
          <w:b/>
          <w:bCs/>
          <w:sz w:val="22"/>
          <w:szCs w:val="22"/>
          <w:lang w:val="fr-FR"/>
        </w:rPr>
        <w:t>é</w:t>
      </w:r>
      <w:r w:rsidRPr="00F617C4">
        <w:rPr>
          <w:rStyle w:val="Ninguno"/>
          <w:b/>
          <w:bCs/>
          <w:sz w:val="22"/>
          <w:szCs w:val="22"/>
          <w:lang w:val="es-ES"/>
        </w:rPr>
        <w:t>utico</w:t>
      </w:r>
      <w:r>
        <w:rPr>
          <w:rStyle w:val="Ninguno"/>
          <w:b/>
          <w:bCs/>
          <w:sz w:val="22"/>
          <w:szCs w:val="22"/>
        </w:rPr>
        <w:t xml:space="preserve"> que no está aprovechando la salida de la crisis, tal como ocurre en otros sectores de la economí</w:t>
      </w:r>
      <w:r>
        <w:rPr>
          <w:rStyle w:val="Ninguno"/>
          <w:b/>
          <w:bCs/>
          <w:sz w:val="22"/>
          <w:szCs w:val="22"/>
          <w:lang w:val="it-IT"/>
        </w:rPr>
        <w:t>a.</w:t>
      </w:r>
    </w:p>
    <w:p w:rsidR="007F59ED" w:rsidRDefault="007F59ED">
      <w:pPr>
        <w:pStyle w:val="Cuerpo"/>
        <w:jc w:val="both"/>
        <w:rPr>
          <w:rStyle w:val="Ninguno"/>
          <w:b/>
          <w:bCs/>
          <w:sz w:val="22"/>
          <w:szCs w:val="22"/>
        </w:rPr>
      </w:pPr>
    </w:p>
    <w:p w:rsidR="000F3ADB" w:rsidRDefault="000F3ADB">
      <w:pPr>
        <w:pStyle w:val="Cuerpo"/>
        <w:jc w:val="both"/>
        <w:rPr>
          <w:rStyle w:val="Ninguno"/>
          <w:b/>
          <w:bCs/>
          <w:sz w:val="22"/>
          <w:szCs w:val="22"/>
        </w:rPr>
      </w:pPr>
      <w:r>
        <w:rPr>
          <w:rStyle w:val="Ninguno"/>
          <w:color w:val="auto"/>
          <w:u w:color="008080"/>
        </w:rPr>
        <w:t xml:space="preserve">Con motivo de la celebración del vigésimo aniversario de la introducción en España de los medicamentos genéricos FEFE ha realizado un análisis retrospectivo de la evolución del mercado de genéricos y los </w:t>
      </w:r>
      <w:r w:rsidRPr="001802AC">
        <w:rPr>
          <w:rStyle w:val="Ninguno"/>
          <w:b/>
          <w:color w:val="auto"/>
          <w:u w:color="008080"/>
        </w:rPr>
        <w:t>factores que están influyendo en un estancamiento de este mercado</w:t>
      </w:r>
      <w:r>
        <w:rPr>
          <w:rStyle w:val="Ninguno"/>
          <w:color w:val="auto"/>
          <w:u w:color="008080"/>
        </w:rPr>
        <w:t xml:space="preserve">. Las principales propuestas que ha formulado FEFE en distintos momentos se refieren a que las Administraciones </w:t>
      </w:r>
      <w:r w:rsidRPr="001802AC">
        <w:rPr>
          <w:rStyle w:val="Ninguno"/>
          <w:b/>
          <w:color w:val="auto"/>
          <w:u w:color="008080"/>
        </w:rPr>
        <w:t>no deberían interferir en el proceso de negociación entre las farmacias y los laboratorios de genéricos</w:t>
      </w:r>
      <w:r>
        <w:rPr>
          <w:rStyle w:val="Ninguno"/>
          <w:color w:val="auto"/>
          <w:u w:color="008080"/>
        </w:rPr>
        <w:t xml:space="preserve">; </w:t>
      </w:r>
      <w:r w:rsidRPr="00C930CF">
        <w:rPr>
          <w:rStyle w:val="Ninguno"/>
          <w:b/>
          <w:color w:val="auto"/>
          <w:u w:color="008080"/>
        </w:rPr>
        <w:t>acabar de hecho con el sistema de subastas que produce desabastecimientos</w:t>
      </w:r>
      <w:r w:rsidR="001802AC">
        <w:rPr>
          <w:rStyle w:val="Ninguno"/>
          <w:color w:val="auto"/>
          <w:u w:color="008080"/>
        </w:rPr>
        <w:t>,</w:t>
      </w:r>
      <w:r>
        <w:rPr>
          <w:rStyle w:val="Ninguno"/>
          <w:color w:val="auto"/>
          <w:u w:color="008080"/>
        </w:rPr>
        <w:t xml:space="preserve"> y </w:t>
      </w:r>
      <w:r w:rsidRPr="00C930CF">
        <w:rPr>
          <w:rStyle w:val="Ninguno"/>
          <w:b/>
          <w:color w:val="auto"/>
          <w:u w:color="008080"/>
        </w:rPr>
        <w:t xml:space="preserve">plantear un nuevo sistema de precios de referencia </w:t>
      </w:r>
      <w:r w:rsidR="001802AC" w:rsidRPr="00C930CF">
        <w:rPr>
          <w:rStyle w:val="Ninguno"/>
          <w:b/>
          <w:color w:val="auto"/>
          <w:u w:color="008080"/>
        </w:rPr>
        <w:t>mucho más sencillo</w:t>
      </w:r>
      <w:r w:rsidR="001802AC">
        <w:rPr>
          <w:rStyle w:val="Ninguno"/>
          <w:color w:val="auto"/>
          <w:u w:color="008080"/>
        </w:rPr>
        <w:t xml:space="preserve">, </w:t>
      </w:r>
      <w:r>
        <w:rPr>
          <w:rStyle w:val="Ninguno"/>
          <w:color w:val="auto"/>
          <w:u w:color="008080"/>
        </w:rPr>
        <w:t>basado en la definición de un precio máximo de financiación por el Ministerio</w:t>
      </w:r>
      <w:r w:rsidR="001802AC">
        <w:rPr>
          <w:rStyle w:val="Ninguno"/>
          <w:color w:val="auto"/>
          <w:u w:color="008080"/>
        </w:rPr>
        <w:t>,</w:t>
      </w:r>
      <w:r>
        <w:rPr>
          <w:rStyle w:val="Ninguno"/>
          <w:color w:val="auto"/>
          <w:u w:color="008080"/>
        </w:rPr>
        <w:t xml:space="preserve"> la libertad de precios y elección por los pacientes</w:t>
      </w:r>
      <w:r w:rsidR="001802AC">
        <w:rPr>
          <w:rStyle w:val="Ninguno"/>
          <w:color w:val="auto"/>
          <w:u w:color="008080"/>
        </w:rPr>
        <w:t>, pagando en su caso la diferencia. En este sistema</w:t>
      </w:r>
      <w:r w:rsidR="005279EE">
        <w:rPr>
          <w:rStyle w:val="Ninguno"/>
          <w:color w:val="auto"/>
          <w:u w:color="008080"/>
        </w:rPr>
        <w:t>,</w:t>
      </w:r>
      <w:bookmarkStart w:id="0" w:name="_GoBack"/>
      <w:bookmarkEnd w:id="0"/>
      <w:r w:rsidR="001802AC">
        <w:rPr>
          <w:rStyle w:val="Ninguno"/>
          <w:color w:val="auto"/>
          <w:u w:color="008080"/>
        </w:rPr>
        <w:t xml:space="preserve"> que sería </w:t>
      </w:r>
      <w:r w:rsidR="001802AC" w:rsidRPr="00C930CF">
        <w:rPr>
          <w:rStyle w:val="Ninguno"/>
          <w:b/>
          <w:color w:val="auto"/>
          <w:u w:color="008080"/>
        </w:rPr>
        <w:t>fundamental para crear una verdadera competencia</w:t>
      </w:r>
      <w:r w:rsidR="00C930CF">
        <w:rPr>
          <w:rStyle w:val="Ninguno"/>
          <w:color w:val="auto"/>
          <w:u w:color="008080"/>
        </w:rPr>
        <w:t xml:space="preserve"> entre</w:t>
      </w:r>
      <w:r w:rsidR="001802AC">
        <w:rPr>
          <w:rStyle w:val="Ninguno"/>
          <w:color w:val="auto"/>
          <w:u w:color="008080"/>
        </w:rPr>
        <w:t xml:space="preserve"> medicamentos genéricos y de marca, es imprescindible un nuevo abordaje del </w:t>
      </w:r>
      <w:r w:rsidR="001802AC" w:rsidRPr="00C930CF">
        <w:rPr>
          <w:rStyle w:val="Ninguno"/>
          <w:b/>
          <w:color w:val="auto"/>
          <w:u w:color="008080"/>
        </w:rPr>
        <w:t>derecho de sustitución del farmacéutico</w:t>
      </w:r>
      <w:r w:rsidR="001802AC">
        <w:rPr>
          <w:rStyle w:val="Ninguno"/>
          <w:color w:val="auto"/>
          <w:u w:color="008080"/>
        </w:rPr>
        <w:t>, ahora limitado a la obligatoriedad de sustituir por razones económicas.</w:t>
      </w:r>
      <w:r>
        <w:rPr>
          <w:rStyle w:val="Ninguno"/>
          <w:color w:val="auto"/>
          <w:u w:color="008080"/>
        </w:rPr>
        <w:t xml:space="preserve">  </w:t>
      </w:r>
    </w:p>
    <w:p w:rsidR="007F59ED" w:rsidRDefault="007F59ED">
      <w:pPr>
        <w:pStyle w:val="Cuerpo"/>
        <w:jc w:val="both"/>
        <w:rPr>
          <w:rStyle w:val="Ninguno"/>
          <w:b/>
          <w:bCs/>
          <w:sz w:val="22"/>
          <w:szCs w:val="22"/>
        </w:rPr>
      </w:pPr>
    </w:p>
    <w:p w:rsidR="007F59ED" w:rsidRDefault="001802AC">
      <w:pPr>
        <w:pStyle w:val="Cuerpo"/>
        <w:jc w:val="both"/>
        <w:rPr>
          <w:rStyle w:val="Ninguno"/>
          <w:color w:val="auto"/>
          <w:u w:color="008080"/>
        </w:rPr>
      </w:pPr>
      <w:r>
        <w:rPr>
          <w:rStyle w:val="Ninguno"/>
          <w:sz w:val="22"/>
          <w:szCs w:val="22"/>
        </w:rPr>
        <w:t xml:space="preserve">En este Observatorio se ha llevado a cabo también un </w:t>
      </w:r>
      <w:r w:rsidRPr="00C930CF">
        <w:rPr>
          <w:rStyle w:val="Ninguno"/>
          <w:b/>
          <w:sz w:val="22"/>
          <w:szCs w:val="22"/>
        </w:rPr>
        <w:t xml:space="preserve">análisis del mercado hospitalario cuya </w:t>
      </w:r>
      <w:r w:rsidRPr="00C930CF">
        <w:rPr>
          <w:rStyle w:val="Ninguno"/>
          <w:b/>
          <w:color w:val="auto"/>
          <w:u w:color="008080"/>
        </w:rPr>
        <w:t>evolución hay que considerarla como mínimo anormal en los últimos años</w:t>
      </w:r>
      <w:r>
        <w:rPr>
          <w:rStyle w:val="Ninguno"/>
          <w:color w:val="auto"/>
          <w:u w:color="008080"/>
        </w:rPr>
        <w:t xml:space="preserve">. El hecho de que la mayor parte del gasto hospitalario en medicamentos se dedique a pacientes </w:t>
      </w:r>
      <w:r w:rsidRPr="00100FCB">
        <w:rPr>
          <w:rStyle w:val="Ninguno"/>
          <w:b/>
          <w:color w:val="auto"/>
          <w:u w:color="008080"/>
        </w:rPr>
        <w:t>no hospitalizados o ambulantes</w:t>
      </w:r>
      <w:r>
        <w:rPr>
          <w:rStyle w:val="Ninguno"/>
          <w:color w:val="auto"/>
          <w:u w:color="008080"/>
        </w:rPr>
        <w:t>, como ha puesto de manifiesto la consultora QuintilesIMS, ha tenido, y tiene, consecuencias sobre los pacientes que se ven obligados a desplazamientos y pérdida de jornadas de trabajo con lo que venimos denominando “copago en la sombra”.</w:t>
      </w:r>
    </w:p>
    <w:p w:rsidR="001802AC" w:rsidRDefault="001802AC">
      <w:pPr>
        <w:pStyle w:val="Cuerpo"/>
        <w:jc w:val="both"/>
        <w:rPr>
          <w:rStyle w:val="Ninguno"/>
          <w:sz w:val="22"/>
          <w:szCs w:val="22"/>
        </w:rPr>
      </w:pPr>
    </w:p>
    <w:p w:rsidR="007F59ED" w:rsidRDefault="00063C1D">
      <w:pPr>
        <w:pStyle w:val="Cuerpo"/>
        <w:jc w:val="both"/>
      </w:pPr>
      <w:r>
        <w:rPr>
          <w:rStyle w:val="Ninguno"/>
          <w:b/>
          <w:bCs/>
        </w:rPr>
        <w:t>Finalmente, las previsiones a corto plazo – abril</w:t>
      </w:r>
      <w:r w:rsidR="001802AC">
        <w:rPr>
          <w:rStyle w:val="Ninguno"/>
          <w:b/>
          <w:bCs/>
        </w:rPr>
        <w:t xml:space="preserve"> y mayo</w:t>
      </w:r>
      <w:r>
        <w:rPr>
          <w:rStyle w:val="Ninguno"/>
          <w:b/>
          <w:bCs/>
        </w:rPr>
        <w:t xml:space="preserve"> de 2017 – </w:t>
      </w:r>
      <w:r>
        <w:rPr>
          <w:lang w:val="es-ES_tradnl"/>
        </w:rPr>
        <w:t>indican que el mercado seguir</w:t>
      </w:r>
      <w:r>
        <w:t xml:space="preserve">á </w:t>
      </w:r>
      <w:r>
        <w:rPr>
          <w:lang w:val="es-ES_tradnl"/>
        </w:rPr>
        <w:t>creciendo</w:t>
      </w:r>
      <w:r w:rsidR="001802AC">
        <w:rPr>
          <w:lang w:val="es-ES_tradnl"/>
        </w:rPr>
        <w:t>, aunque pueda tener algún retroceso en el mes de abril y en algún otro mes, principalmente debido a las fechas en que se produce la facturación de recetas</w:t>
      </w:r>
      <w:r>
        <w:rPr>
          <w:lang w:val="es-ES_tradnl"/>
        </w:rPr>
        <w:t>.</w:t>
      </w:r>
    </w:p>
    <w:sectPr w:rsidR="007F59ED" w:rsidSect="00C80DA8">
      <w:headerReference w:type="default" r:id="rId19"/>
      <w:footerReference w:type="default" r:id="rId20"/>
      <w:headerReference w:type="first" r:id="rId21"/>
      <w:footerReference w:type="first" r:id="rId22"/>
      <w:pgSz w:w="11900" w:h="16840"/>
      <w:pgMar w:top="1418" w:right="1531" w:bottom="1418" w:left="153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4A" w:rsidRDefault="003B0A4A">
      <w:r>
        <w:separator/>
      </w:r>
    </w:p>
  </w:endnote>
  <w:endnote w:type="continuationSeparator" w:id="0">
    <w:p w:rsidR="003B0A4A" w:rsidRDefault="003B0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063C1D">
    <w:pPr>
      <w:pStyle w:val="Piedepgina"/>
      <w:tabs>
        <w:tab w:val="clear" w:pos="8838"/>
        <w:tab w:val="right" w:pos="8818"/>
      </w:tabs>
      <w:jc w:val="center"/>
    </w:pPr>
    <w:r>
      <w:t>FEDERACIÓN EMPRESARIAL DE FARMACÉUTICOS ESPAÑOLES</w:t>
    </w:r>
  </w:p>
  <w:p w:rsidR="007F59ED" w:rsidRDefault="00063C1D">
    <w:pPr>
      <w:pStyle w:val="Piedepgina"/>
      <w:tabs>
        <w:tab w:val="clear" w:pos="8838"/>
        <w:tab w:val="right" w:pos="8818"/>
      </w:tabs>
      <w:jc w:val="center"/>
    </w:pPr>
    <w:r>
      <w:t>Príncipe de Vergara 8, 3º. 28001 – Madrid</w:t>
    </w:r>
  </w:p>
  <w:p w:rsidR="007F59ED" w:rsidRDefault="00063C1D">
    <w:pPr>
      <w:pStyle w:val="Piedepgina"/>
      <w:tabs>
        <w:tab w:val="clear" w:pos="8838"/>
        <w:tab w:val="right" w:pos="8818"/>
      </w:tabs>
      <w:jc w:val="center"/>
    </w:pPr>
    <w:r>
      <w:t>•Tel: 91 575 43 86 • Fax: 91 577 57 43 • e-mail: federacion@fefe.com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7F59ED">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4A" w:rsidRDefault="003B0A4A">
      <w:r>
        <w:separator/>
      </w:r>
    </w:p>
  </w:footnote>
  <w:footnote w:type="continuationSeparator" w:id="0">
    <w:p w:rsidR="003B0A4A" w:rsidRDefault="003B0A4A">
      <w:r>
        <w:continuationSeparator/>
      </w:r>
    </w:p>
  </w:footnote>
  <w:footnote w:id="1">
    <w:p w:rsidR="00A53602" w:rsidRPr="00A53602" w:rsidRDefault="00A53602">
      <w:pPr>
        <w:pStyle w:val="Textonotapie"/>
        <w:rPr>
          <w:lang w:val="es-ES"/>
        </w:rPr>
      </w:pPr>
      <w:r>
        <w:rPr>
          <w:rStyle w:val="Refdenotaalpie"/>
        </w:rPr>
        <w:footnoteRef/>
      </w:r>
      <w:r>
        <w:t xml:space="preserve"> </w:t>
      </w:r>
      <w:r>
        <w:rPr>
          <w:lang w:val="es-ES"/>
        </w:rPr>
        <w:t>(%PPG) Es la abreviatura en ingles de porcentaje de crecimiento.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063C1D">
    <w:pPr>
      <w:pStyle w:val="Encabezado"/>
      <w:tabs>
        <w:tab w:val="clear" w:pos="8838"/>
        <w:tab w:val="right" w:pos="8818"/>
      </w:tabs>
    </w:pPr>
    <w:r>
      <w:rPr>
        <w:noProof/>
        <w:lang w:val="es-ES"/>
      </w:rPr>
      <w:drawing>
        <wp:inline distT="0" distB="0" distL="0" distR="0">
          <wp:extent cx="796925" cy="685800"/>
          <wp:effectExtent l="0" t="0" r="0" b="0"/>
          <wp:docPr id="1073741825" name="officeArt object" descr="Logofefe"/>
          <wp:cNvGraphicFramePr/>
          <a:graphic xmlns:a="http://schemas.openxmlformats.org/drawingml/2006/main">
            <a:graphicData uri="http://schemas.openxmlformats.org/drawingml/2006/picture">
              <pic:pic xmlns:pic="http://schemas.openxmlformats.org/drawingml/2006/picture">
                <pic:nvPicPr>
                  <pic:cNvPr id="1073741825" name="Logofefe" descr="Logofefe"/>
                  <pic:cNvPicPr>
                    <a:picLocks noChangeAspect="1"/>
                  </pic:cNvPicPr>
                </pic:nvPicPr>
                <pic:blipFill>
                  <a:blip r:embed="rId1">
                    <a:extLst/>
                  </a:blip>
                  <a:stretch>
                    <a:fillRect/>
                  </a:stretch>
                </pic:blipFill>
                <pic:spPr>
                  <a:xfrm>
                    <a:off x="0" y="0"/>
                    <a:ext cx="796925" cy="685800"/>
                  </a:xfrm>
                  <a:prstGeom prst="rect">
                    <a:avLst/>
                  </a:prstGeom>
                  <a:ln w="12700" cap="flat">
                    <a:noFill/>
                    <a:miter lim="400000"/>
                  </a:ln>
                  <a:effectLst/>
                </pic:spPr>
              </pic:pic>
            </a:graphicData>
          </a:graphic>
        </wp:inline>
      </w:drawing>
    </w:r>
    <w:r>
      <w:tab/>
    </w:r>
    <w:r>
      <w:rPr>
        <w:rStyle w:val="Ninguno"/>
        <w:rFonts w:ascii="Arial Black" w:hAnsi="Arial Black"/>
        <w:color w:val="008080"/>
        <w:sz w:val="48"/>
        <w:szCs w:val="48"/>
        <w:u w:color="008080"/>
      </w:rPr>
      <w:t xml:space="preserve">OBSERVATORIO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7F59ED">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B3156"/>
    <w:multiLevelType w:val="hybridMultilevel"/>
    <w:tmpl w:val="E64C98C2"/>
    <w:lvl w:ilvl="0" w:tplc="D61442F6">
      <w:start w:val="1"/>
      <w:numFmt w:val="bullet"/>
      <w:lvlText w:val=""/>
      <w:lvlJc w:val="left"/>
      <w:pPr>
        <w:tabs>
          <w:tab w:val="num" w:pos="720"/>
        </w:tabs>
        <w:ind w:left="720" w:hanging="360"/>
      </w:pPr>
      <w:rPr>
        <w:rFonts w:ascii="Wingdings" w:hAnsi="Wingdings" w:hint="default"/>
      </w:rPr>
    </w:lvl>
    <w:lvl w:ilvl="1" w:tplc="3618B09A" w:tentative="1">
      <w:start w:val="1"/>
      <w:numFmt w:val="bullet"/>
      <w:lvlText w:val=""/>
      <w:lvlJc w:val="left"/>
      <w:pPr>
        <w:tabs>
          <w:tab w:val="num" w:pos="1440"/>
        </w:tabs>
        <w:ind w:left="1440" w:hanging="360"/>
      </w:pPr>
      <w:rPr>
        <w:rFonts w:ascii="Wingdings" w:hAnsi="Wingdings" w:hint="default"/>
      </w:rPr>
    </w:lvl>
    <w:lvl w:ilvl="2" w:tplc="B992B64A" w:tentative="1">
      <w:start w:val="1"/>
      <w:numFmt w:val="bullet"/>
      <w:lvlText w:val=""/>
      <w:lvlJc w:val="left"/>
      <w:pPr>
        <w:tabs>
          <w:tab w:val="num" w:pos="2160"/>
        </w:tabs>
        <w:ind w:left="2160" w:hanging="360"/>
      </w:pPr>
      <w:rPr>
        <w:rFonts w:ascii="Wingdings" w:hAnsi="Wingdings" w:hint="default"/>
      </w:rPr>
    </w:lvl>
    <w:lvl w:ilvl="3" w:tplc="CEF8A0D8" w:tentative="1">
      <w:start w:val="1"/>
      <w:numFmt w:val="bullet"/>
      <w:lvlText w:val=""/>
      <w:lvlJc w:val="left"/>
      <w:pPr>
        <w:tabs>
          <w:tab w:val="num" w:pos="2880"/>
        </w:tabs>
        <w:ind w:left="2880" w:hanging="360"/>
      </w:pPr>
      <w:rPr>
        <w:rFonts w:ascii="Wingdings" w:hAnsi="Wingdings" w:hint="default"/>
      </w:rPr>
    </w:lvl>
    <w:lvl w:ilvl="4" w:tplc="0EC2A362" w:tentative="1">
      <w:start w:val="1"/>
      <w:numFmt w:val="bullet"/>
      <w:lvlText w:val=""/>
      <w:lvlJc w:val="left"/>
      <w:pPr>
        <w:tabs>
          <w:tab w:val="num" w:pos="3600"/>
        </w:tabs>
        <w:ind w:left="3600" w:hanging="360"/>
      </w:pPr>
      <w:rPr>
        <w:rFonts w:ascii="Wingdings" w:hAnsi="Wingdings" w:hint="default"/>
      </w:rPr>
    </w:lvl>
    <w:lvl w:ilvl="5" w:tplc="76D8DB9C" w:tentative="1">
      <w:start w:val="1"/>
      <w:numFmt w:val="bullet"/>
      <w:lvlText w:val=""/>
      <w:lvlJc w:val="left"/>
      <w:pPr>
        <w:tabs>
          <w:tab w:val="num" w:pos="4320"/>
        </w:tabs>
        <w:ind w:left="4320" w:hanging="360"/>
      </w:pPr>
      <w:rPr>
        <w:rFonts w:ascii="Wingdings" w:hAnsi="Wingdings" w:hint="default"/>
      </w:rPr>
    </w:lvl>
    <w:lvl w:ilvl="6" w:tplc="963AD47C" w:tentative="1">
      <w:start w:val="1"/>
      <w:numFmt w:val="bullet"/>
      <w:lvlText w:val=""/>
      <w:lvlJc w:val="left"/>
      <w:pPr>
        <w:tabs>
          <w:tab w:val="num" w:pos="5040"/>
        </w:tabs>
        <w:ind w:left="5040" w:hanging="360"/>
      </w:pPr>
      <w:rPr>
        <w:rFonts w:ascii="Wingdings" w:hAnsi="Wingdings" w:hint="default"/>
      </w:rPr>
    </w:lvl>
    <w:lvl w:ilvl="7" w:tplc="4C62C02C" w:tentative="1">
      <w:start w:val="1"/>
      <w:numFmt w:val="bullet"/>
      <w:lvlText w:val=""/>
      <w:lvlJc w:val="left"/>
      <w:pPr>
        <w:tabs>
          <w:tab w:val="num" w:pos="5760"/>
        </w:tabs>
        <w:ind w:left="5760" w:hanging="360"/>
      </w:pPr>
      <w:rPr>
        <w:rFonts w:ascii="Wingdings" w:hAnsi="Wingdings" w:hint="default"/>
      </w:rPr>
    </w:lvl>
    <w:lvl w:ilvl="8" w:tplc="E496ECCC" w:tentative="1">
      <w:start w:val="1"/>
      <w:numFmt w:val="bullet"/>
      <w:lvlText w:val=""/>
      <w:lvlJc w:val="left"/>
      <w:pPr>
        <w:tabs>
          <w:tab w:val="num" w:pos="6480"/>
        </w:tabs>
        <w:ind w:left="6480" w:hanging="360"/>
      </w:pPr>
      <w:rPr>
        <w:rFonts w:ascii="Wingdings" w:hAnsi="Wingdings" w:hint="default"/>
      </w:rPr>
    </w:lvl>
  </w:abstractNum>
  <w:abstractNum w:abstractNumId="1">
    <w:nsid w:val="29E14FAB"/>
    <w:multiLevelType w:val="hybridMultilevel"/>
    <w:tmpl w:val="2ED2776C"/>
    <w:lvl w:ilvl="0" w:tplc="EB4A2ABA">
      <w:start w:val="1"/>
      <w:numFmt w:val="bullet"/>
      <w:lvlText w:val=""/>
      <w:lvlJc w:val="left"/>
      <w:pPr>
        <w:tabs>
          <w:tab w:val="num" w:pos="720"/>
        </w:tabs>
        <w:ind w:left="720" w:hanging="360"/>
      </w:pPr>
      <w:rPr>
        <w:rFonts w:ascii="Wingdings" w:hAnsi="Wingdings" w:hint="default"/>
      </w:rPr>
    </w:lvl>
    <w:lvl w:ilvl="1" w:tplc="793EC516" w:tentative="1">
      <w:start w:val="1"/>
      <w:numFmt w:val="bullet"/>
      <w:lvlText w:val=""/>
      <w:lvlJc w:val="left"/>
      <w:pPr>
        <w:tabs>
          <w:tab w:val="num" w:pos="1440"/>
        </w:tabs>
        <w:ind w:left="1440" w:hanging="360"/>
      </w:pPr>
      <w:rPr>
        <w:rFonts w:ascii="Wingdings" w:hAnsi="Wingdings" w:hint="default"/>
      </w:rPr>
    </w:lvl>
    <w:lvl w:ilvl="2" w:tplc="974EF478" w:tentative="1">
      <w:start w:val="1"/>
      <w:numFmt w:val="bullet"/>
      <w:lvlText w:val=""/>
      <w:lvlJc w:val="left"/>
      <w:pPr>
        <w:tabs>
          <w:tab w:val="num" w:pos="2160"/>
        </w:tabs>
        <w:ind w:left="2160" w:hanging="360"/>
      </w:pPr>
      <w:rPr>
        <w:rFonts w:ascii="Wingdings" w:hAnsi="Wingdings" w:hint="default"/>
      </w:rPr>
    </w:lvl>
    <w:lvl w:ilvl="3" w:tplc="57D0183C" w:tentative="1">
      <w:start w:val="1"/>
      <w:numFmt w:val="bullet"/>
      <w:lvlText w:val=""/>
      <w:lvlJc w:val="left"/>
      <w:pPr>
        <w:tabs>
          <w:tab w:val="num" w:pos="2880"/>
        </w:tabs>
        <w:ind w:left="2880" w:hanging="360"/>
      </w:pPr>
      <w:rPr>
        <w:rFonts w:ascii="Wingdings" w:hAnsi="Wingdings" w:hint="default"/>
      </w:rPr>
    </w:lvl>
    <w:lvl w:ilvl="4" w:tplc="15662B08" w:tentative="1">
      <w:start w:val="1"/>
      <w:numFmt w:val="bullet"/>
      <w:lvlText w:val=""/>
      <w:lvlJc w:val="left"/>
      <w:pPr>
        <w:tabs>
          <w:tab w:val="num" w:pos="3600"/>
        </w:tabs>
        <w:ind w:left="3600" w:hanging="360"/>
      </w:pPr>
      <w:rPr>
        <w:rFonts w:ascii="Wingdings" w:hAnsi="Wingdings" w:hint="default"/>
      </w:rPr>
    </w:lvl>
    <w:lvl w:ilvl="5" w:tplc="5530720E" w:tentative="1">
      <w:start w:val="1"/>
      <w:numFmt w:val="bullet"/>
      <w:lvlText w:val=""/>
      <w:lvlJc w:val="left"/>
      <w:pPr>
        <w:tabs>
          <w:tab w:val="num" w:pos="4320"/>
        </w:tabs>
        <w:ind w:left="4320" w:hanging="360"/>
      </w:pPr>
      <w:rPr>
        <w:rFonts w:ascii="Wingdings" w:hAnsi="Wingdings" w:hint="default"/>
      </w:rPr>
    </w:lvl>
    <w:lvl w:ilvl="6" w:tplc="DB6AECF0" w:tentative="1">
      <w:start w:val="1"/>
      <w:numFmt w:val="bullet"/>
      <w:lvlText w:val=""/>
      <w:lvlJc w:val="left"/>
      <w:pPr>
        <w:tabs>
          <w:tab w:val="num" w:pos="5040"/>
        </w:tabs>
        <w:ind w:left="5040" w:hanging="360"/>
      </w:pPr>
      <w:rPr>
        <w:rFonts w:ascii="Wingdings" w:hAnsi="Wingdings" w:hint="default"/>
      </w:rPr>
    </w:lvl>
    <w:lvl w:ilvl="7" w:tplc="3D1E2A54" w:tentative="1">
      <w:start w:val="1"/>
      <w:numFmt w:val="bullet"/>
      <w:lvlText w:val=""/>
      <w:lvlJc w:val="left"/>
      <w:pPr>
        <w:tabs>
          <w:tab w:val="num" w:pos="5760"/>
        </w:tabs>
        <w:ind w:left="5760" w:hanging="360"/>
      </w:pPr>
      <w:rPr>
        <w:rFonts w:ascii="Wingdings" w:hAnsi="Wingdings" w:hint="default"/>
      </w:rPr>
    </w:lvl>
    <w:lvl w:ilvl="8" w:tplc="1F36DE9A" w:tentative="1">
      <w:start w:val="1"/>
      <w:numFmt w:val="bullet"/>
      <w:lvlText w:val=""/>
      <w:lvlJc w:val="left"/>
      <w:pPr>
        <w:tabs>
          <w:tab w:val="num" w:pos="6480"/>
        </w:tabs>
        <w:ind w:left="6480" w:hanging="360"/>
      </w:pPr>
      <w:rPr>
        <w:rFonts w:ascii="Wingdings" w:hAnsi="Wingdings" w:hint="default"/>
      </w:rPr>
    </w:lvl>
  </w:abstractNum>
  <w:abstractNum w:abstractNumId="2">
    <w:nsid w:val="40AB2DDE"/>
    <w:multiLevelType w:val="hybridMultilevel"/>
    <w:tmpl w:val="F42A9A58"/>
    <w:lvl w:ilvl="0" w:tplc="3D68098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B65BFB"/>
    <w:multiLevelType w:val="hybridMultilevel"/>
    <w:tmpl w:val="E3FCFC9E"/>
    <w:lvl w:ilvl="0" w:tplc="E0386F0E">
      <w:start w:val="1"/>
      <w:numFmt w:val="bullet"/>
      <w:lvlText w:val=""/>
      <w:lvlJc w:val="left"/>
      <w:pPr>
        <w:tabs>
          <w:tab w:val="num" w:pos="720"/>
        </w:tabs>
        <w:ind w:left="720" w:hanging="360"/>
      </w:pPr>
      <w:rPr>
        <w:rFonts w:ascii="Wingdings" w:hAnsi="Wingdings" w:hint="default"/>
      </w:rPr>
    </w:lvl>
    <w:lvl w:ilvl="1" w:tplc="E1D2B63A" w:tentative="1">
      <w:start w:val="1"/>
      <w:numFmt w:val="bullet"/>
      <w:lvlText w:val=""/>
      <w:lvlJc w:val="left"/>
      <w:pPr>
        <w:tabs>
          <w:tab w:val="num" w:pos="1440"/>
        </w:tabs>
        <w:ind w:left="1440" w:hanging="360"/>
      </w:pPr>
      <w:rPr>
        <w:rFonts w:ascii="Wingdings" w:hAnsi="Wingdings" w:hint="default"/>
      </w:rPr>
    </w:lvl>
    <w:lvl w:ilvl="2" w:tplc="61080E84" w:tentative="1">
      <w:start w:val="1"/>
      <w:numFmt w:val="bullet"/>
      <w:lvlText w:val=""/>
      <w:lvlJc w:val="left"/>
      <w:pPr>
        <w:tabs>
          <w:tab w:val="num" w:pos="2160"/>
        </w:tabs>
        <w:ind w:left="2160" w:hanging="360"/>
      </w:pPr>
      <w:rPr>
        <w:rFonts w:ascii="Wingdings" w:hAnsi="Wingdings" w:hint="default"/>
      </w:rPr>
    </w:lvl>
    <w:lvl w:ilvl="3" w:tplc="27ECDDA2" w:tentative="1">
      <w:start w:val="1"/>
      <w:numFmt w:val="bullet"/>
      <w:lvlText w:val=""/>
      <w:lvlJc w:val="left"/>
      <w:pPr>
        <w:tabs>
          <w:tab w:val="num" w:pos="2880"/>
        </w:tabs>
        <w:ind w:left="2880" w:hanging="360"/>
      </w:pPr>
      <w:rPr>
        <w:rFonts w:ascii="Wingdings" w:hAnsi="Wingdings" w:hint="default"/>
      </w:rPr>
    </w:lvl>
    <w:lvl w:ilvl="4" w:tplc="4970A2F8" w:tentative="1">
      <w:start w:val="1"/>
      <w:numFmt w:val="bullet"/>
      <w:lvlText w:val=""/>
      <w:lvlJc w:val="left"/>
      <w:pPr>
        <w:tabs>
          <w:tab w:val="num" w:pos="3600"/>
        </w:tabs>
        <w:ind w:left="3600" w:hanging="360"/>
      </w:pPr>
      <w:rPr>
        <w:rFonts w:ascii="Wingdings" w:hAnsi="Wingdings" w:hint="default"/>
      </w:rPr>
    </w:lvl>
    <w:lvl w:ilvl="5" w:tplc="93386DD4" w:tentative="1">
      <w:start w:val="1"/>
      <w:numFmt w:val="bullet"/>
      <w:lvlText w:val=""/>
      <w:lvlJc w:val="left"/>
      <w:pPr>
        <w:tabs>
          <w:tab w:val="num" w:pos="4320"/>
        </w:tabs>
        <w:ind w:left="4320" w:hanging="360"/>
      </w:pPr>
      <w:rPr>
        <w:rFonts w:ascii="Wingdings" w:hAnsi="Wingdings" w:hint="default"/>
      </w:rPr>
    </w:lvl>
    <w:lvl w:ilvl="6" w:tplc="FA60E424" w:tentative="1">
      <w:start w:val="1"/>
      <w:numFmt w:val="bullet"/>
      <w:lvlText w:val=""/>
      <w:lvlJc w:val="left"/>
      <w:pPr>
        <w:tabs>
          <w:tab w:val="num" w:pos="5040"/>
        </w:tabs>
        <w:ind w:left="5040" w:hanging="360"/>
      </w:pPr>
      <w:rPr>
        <w:rFonts w:ascii="Wingdings" w:hAnsi="Wingdings" w:hint="default"/>
      </w:rPr>
    </w:lvl>
    <w:lvl w:ilvl="7" w:tplc="B8C86658" w:tentative="1">
      <w:start w:val="1"/>
      <w:numFmt w:val="bullet"/>
      <w:lvlText w:val=""/>
      <w:lvlJc w:val="left"/>
      <w:pPr>
        <w:tabs>
          <w:tab w:val="num" w:pos="5760"/>
        </w:tabs>
        <w:ind w:left="5760" w:hanging="360"/>
      </w:pPr>
      <w:rPr>
        <w:rFonts w:ascii="Wingdings" w:hAnsi="Wingdings" w:hint="default"/>
      </w:rPr>
    </w:lvl>
    <w:lvl w:ilvl="8" w:tplc="C94CE334" w:tentative="1">
      <w:start w:val="1"/>
      <w:numFmt w:val="bullet"/>
      <w:lvlText w:val=""/>
      <w:lvlJc w:val="left"/>
      <w:pPr>
        <w:tabs>
          <w:tab w:val="num" w:pos="6480"/>
        </w:tabs>
        <w:ind w:left="6480" w:hanging="360"/>
      </w:pPr>
      <w:rPr>
        <w:rFonts w:ascii="Wingdings" w:hAnsi="Wingdings" w:hint="default"/>
      </w:rPr>
    </w:lvl>
  </w:abstractNum>
  <w:abstractNum w:abstractNumId="4">
    <w:nsid w:val="6B6B4959"/>
    <w:multiLevelType w:val="hybridMultilevel"/>
    <w:tmpl w:val="139A48B0"/>
    <w:numStyleLink w:val="Estiloimportado1"/>
  </w:abstractNum>
  <w:abstractNum w:abstractNumId="5">
    <w:nsid w:val="6CB355C8"/>
    <w:multiLevelType w:val="hybridMultilevel"/>
    <w:tmpl w:val="53681C8E"/>
    <w:lvl w:ilvl="0" w:tplc="C44C3B6E">
      <w:start w:val="1"/>
      <w:numFmt w:val="bullet"/>
      <w:lvlText w:val=""/>
      <w:lvlJc w:val="left"/>
      <w:pPr>
        <w:tabs>
          <w:tab w:val="num" w:pos="720"/>
        </w:tabs>
        <w:ind w:left="720" w:hanging="360"/>
      </w:pPr>
      <w:rPr>
        <w:rFonts w:ascii="Wingdings" w:hAnsi="Wingdings" w:hint="default"/>
      </w:rPr>
    </w:lvl>
    <w:lvl w:ilvl="1" w:tplc="401A8E48" w:tentative="1">
      <w:start w:val="1"/>
      <w:numFmt w:val="bullet"/>
      <w:lvlText w:val=""/>
      <w:lvlJc w:val="left"/>
      <w:pPr>
        <w:tabs>
          <w:tab w:val="num" w:pos="1440"/>
        </w:tabs>
        <w:ind w:left="1440" w:hanging="360"/>
      </w:pPr>
      <w:rPr>
        <w:rFonts w:ascii="Wingdings" w:hAnsi="Wingdings" w:hint="default"/>
      </w:rPr>
    </w:lvl>
    <w:lvl w:ilvl="2" w:tplc="D6DC32AE" w:tentative="1">
      <w:start w:val="1"/>
      <w:numFmt w:val="bullet"/>
      <w:lvlText w:val=""/>
      <w:lvlJc w:val="left"/>
      <w:pPr>
        <w:tabs>
          <w:tab w:val="num" w:pos="2160"/>
        </w:tabs>
        <w:ind w:left="2160" w:hanging="360"/>
      </w:pPr>
      <w:rPr>
        <w:rFonts w:ascii="Wingdings" w:hAnsi="Wingdings" w:hint="default"/>
      </w:rPr>
    </w:lvl>
    <w:lvl w:ilvl="3" w:tplc="87E03BDA" w:tentative="1">
      <w:start w:val="1"/>
      <w:numFmt w:val="bullet"/>
      <w:lvlText w:val=""/>
      <w:lvlJc w:val="left"/>
      <w:pPr>
        <w:tabs>
          <w:tab w:val="num" w:pos="2880"/>
        </w:tabs>
        <w:ind w:left="2880" w:hanging="360"/>
      </w:pPr>
      <w:rPr>
        <w:rFonts w:ascii="Wingdings" w:hAnsi="Wingdings" w:hint="default"/>
      </w:rPr>
    </w:lvl>
    <w:lvl w:ilvl="4" w:tplc="83E69934" w:tentative="1">
      <w:start w:val="1"/>
      <w:numFmt w:val="bullet"/>
      <w:lvlText w:val=""/>
      <w:lvlJc w:val="left"/>
      <w:pPr>
        <w:tabs>
          <w:tab w:val="num" w:pos="3600"/>
        </w:tabs>
        <w:ind w:left="3600" w:hanging="360"/>
      </w:pPr>
      <w:rPr>
        <w:rFonts w:ascii="Wingdings" w:hAnsi="Wingdings" w:hint="default"/>
      </w:rPr>
    </w:lvl>
    <w:lvl w:ilvl="5" w:tplc="09F8EAD0" w:tentative="1">
      <w:start w:val="1"/>
      <w:numFmt w:val="bullet"/>
      <w:lvlText w:val=""/>
      <w:lvlJc w:val="left"/>
      <w:pPr>
        <w:tabs>
          <w:tab w:val="num" w:pos="4320"/>
        </w:tabs>
        <w:ind w:left="4320" w:hanging="360"/>
      </w:pPr>
      <w:rPr>
        <w:rFonts w:ascii="Wingdings" w:hAnsi="Wingdings" w:hint="default"/>
      </w:rPr>
    </w:lvl>
    <w:lvl w:ilvl="6" w:tplc="CEC616B4" w:tentative="1">
      <w:start w:val="1"/>
      <w:numFmt w:val="bullet"/>
      <w:lvlText w:val=""/>
      <w:lvlJc w:val="left"/>
      <w:pPr>
        <w:tabs>
          <w:tab w:val="num" w:pos="5040"/>
        </w:tabs>
        <w:ind w:left="5040" w:hanging="360"/>
      </w:pPr>
      <w:rPr>
        <w:rFonts w:ascii="Wingdings" w:hAnsi="Wingdings" w:hint="default"/>
      </w:rPr>
    </w:lvl>
    <w:lvl w:ilvl="7" w:tplc="5A9214E6" w:tentative="1">
      <w:start w:val="1"/>
      <w:numFmt w:val="bullet"/>
      <w:lvlText w:val=""/>
      <w:lvlJc w:val="left"/>
      <w:pPr>
        <w:tabs>
          <w:tab w:val="num" w:pos="5760"/>
        </w:tabs>
        <w:ind w:left="5760" w:hanging="360"/>
      </w:pPr>
      <w:rPr>
        <w:rFonts w:ascii="Wingdings" w:hAnsi="Wingdings" w:hint="default"/>
      </w:rPr>
    </w:lvl>
    <w:lvl w:ilvl="8" w:tplc="1B224038" w:tentative="1">
      <w:start w:val="1"/>
      <w:numFmt w:val="bullet"/>
      <w:lvlText w:val=""/>
      <w:lvlJc w:val="left"/>
      <w:pPr>
        <w:tabs>
          <w:tab w:val="num" w:pos="6480"/>
        </w:tabs>
        <w:ind w:left="6480" w:hanging="360"/>
      </w:pPr>
      <w:rPr>
        <w:rFonts w:ascii="Wingdings" w:hAnsi="Wingdings" w:hint="default"/>
      </w:rPr>
    </w:lvl>
  </w:abstractNum>
  <w:abstractNum w:abstractNumId="6">
    <w:nsid w:val="6F18372B"/>
    <w:multiLevelType w:val="hybridMultilevel"/>
    <w:tmpl w:val="413E7682"/>
    <w:lvl w:ilvl="0" w:tplc="D6C4B1D2">
      <w:start w:val="1"/>
      <w:numFmt w:val="bullet"/>
      <w:lvlText w:val=""/>
      <w:lvlJc w:val="left"/>
      <w:pPr>
        <w:tabs>
          <w:tab w:val="num" w:pos="720"/>
        </w:tabs>
        <w:ind w:left="720" w:hanging="360"/>
      </w:pPr>
      <w:rPr>
        <w:rFonts w:ascii="Wingdings" w:hAnsi="Wingdings" w:hint="default"/>
      </w:rPr>
    </w:lvl>
    <w:lvl w:ilvl="1" w:tplc="46FED692" w:tentative="1">
      <w:start w:val="1"/>
      <w:numFmt w:val="bullet"/>
      <w:lvlText w:val=""/>
      <w:lvlJc w:val="left"/>
      <w:pPr>
        <w:tabs>
          <w:tab w:val="num" w:pos="1440"/>
        </w:tabs>
        <w:ind w:left="1440" w:hanging="360"/>
      </w:pPr>
      <w:rPr>
        <w:rFonts w:ascii="Wingdings" w:hAnsi="Wingdings" w:hint="default"/>
      </w:rPr>
    </w:lvl>
    <w:lvl w:ilvl="2" w:tplc="2C5C15F0" w:tentative="1">
      <w:start w:val="1"/>
      <w:numFmt w:val="bullet"/>
      <w:lvlText w:val=""/>
      <w:lvlJc w:val="left"/>
      <w:pPr>
        <w:tabs>
          <w:tab w:val="num" w:pos="2160"/>
        </w:tabs>
        <w:ind w:left="2160" w:hanging="360"/>
      </w:pPr>
      <w:rPr>
        <w:rFonts w:ascii="Wingdings" w:hAnsi="Wingdings" w:hint="default"/>
      </w:rPr>
    </w:lvl>
    <w:lvl w:ilvl="3" w:tplc="F5320D4A" w:tentative="1">
      <w:start w:val="1"/>
      <w:numFmt w:val="bullet"/>
      <w:lvlText w:val=""/>
      <w:lvlJc w:val="left"/>
      <w:pPr>
        <w:tabs>
          <w:tab w:val="num" w:pos="2880"/>
        </w:tabs>
        <w:ind w:left="2880" w:hanging="360"/>
      </w:pPr>
      <w:rPr>
        <w:rFonts w:ascii="Wingdings" w:hAnsi="Wingdings" w:hint="default"/>
      </w:rPr>
    </w:lvl>
    <w:lvl w:ilvl="4" w:tplc="436E647A" w:tentative="1">
      <w:start w:val="1"/>
      <w:numFmt w:val="bullet"/>
      <w:lvlText w:val=""/>
      <w:lvlJc w:val="left"/>
      <w:pPr>
        <w:tabs>
          <w:tab w:val="num" w:pos="3600"/>
        </w:tabs>
        <w:ind w:left="3600" w:hanging="360"/>
      </w:pPr>
      <w:rPr>
        <w:rFonts w:ascii="Wingdings" w:hAnsi="Wingdings" w:hint="default"/>
      </w:rPr>
    </w:lvl>
    <w:lvl w:ilvl="5" w:tplc="13E20642" w:tentative="1">
      <w:start w:val="1"/>
      <w:numFmt w:val="bullet"/>
      <w:lvlText w:val=""/>
      <w:lvlJc w:val="left"/>
      <w:pPr>
        <w:tabs>
          <w:tab w:val="num" w:pos="4320"/>
        </w:tabs>
        <w:ind w:left="4320" w:hanging="360"/>
      </w:pPr>
      <w:rPr>
        <w:rFonts w:ascii="Wingdings" w:hAnsi="Wingdings" w:hint="default"/>
      </w:rPr>
    </w:lvl>
    <w:lvl w:ilvl="6" w:tplc="5B3684EA" w:tentative="1">
      <w:start w:val="1"/>
      <w:numFmt w:val="bullet"/>
      <w:lvlText w:val=""/>
      <w:lvlJc w:val="left"/>
      <w:pPr>
        <w:tabs>
          <w:tab w:val="num" w:pos="5040"/>
        </w:tabs>
        <w:ind w:left="5040" w:hanging="360"/>
      </w:pPr>
      <w:rPr>
        <w:rFonts w:ascii="Wingdings" w:hAnsi="Wingdings" w:hint="default"/>
      </w:rPr>
    </w:lvl>
    <w:lvl w:ilvl="7" w:tplc="ADE00060" w:tentative="1">
      <w:start w:val="1"/>
      <w:numFmt w:val="bullet"/>
      <w:lvlText w:val=""/>
      <w:lvlJc w:val="left"/>
      <w:pPr>
        <w:tabs>
          <w:tab w:val="num" w:pos="5760"/>
        </w:tabs>
        <w:ind w:left="5760" w:hanging="360"/>
      </w:pPr>
      <w:rPr>
        <w:rFonts w:ascii="Wingdings" w:hAnsi="Wingdings" w:hint="default"/>
      </w:rPr>
    </w:lvl>
    <w:lvl w:ilvl="8" w:tplc="CF64B5B0" w:tentative="1">
      <w:start w:val="1"/>
      <w:numFmt w:val="bullet"/>
      <w:lvlText w:val=""/>
      <w:lvlJc w:val="left"/>
      <w:pPr>
        <w:tabs>
          <w:tab w:val="num" w:pos="6480"/>
        </w:tabs>
        <w:ind w:left="6480" w:hanging="360"/>
      </w:pPr>
      <w:rPr>
        <w:rFonts w:ascii="Wingdings" w:hAnsi="Wingdings" w:hint="default"/>
      </w:rPr>
    </w:lvl>
  </w:abstractNum>
  <w:abstractNum w:abstractNumId="7">
    <w:nsid w:val="7FAB29AA"/>
    <w:multiLevelType w:val="hybridMultilevel"/>
    <w:tmpl w:val="139A48B0"/>
    <w:styleLink w:val="Estiloimportado1"/>
    <w:lvl w:ilvl="0" w:tplc="D95C354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84746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7847D0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2E763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668FB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088DD1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E26FF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D6A0A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C87C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2"/>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F59ED"/>
    <w:rsid w:val="00063C1D"/>
    <w:rsid w:val="000E799E"/>
    <w:rsid w:val="000F3ADB"/>
    <w:rsid w:val="00100FCB"/>
    <w:rsid w:val="0011052C"/>
    <w:rsid w:val="001802AC"/>
    <w:rsid w:val="001B5364"/>
    <w:rsid w:val="001C4314"/>
    <w:rsid w:val="00226C42"/>
    <w:rsid w:val="002E48BA"/>
    <w:rsid w:val="00302285"/>
    <w:rsid w:val="00361DCD"/>
    <w:rsid w:val="003B0A4A"/>
    <w:rsid w:val="003D74D3"/>
    <w:rsid w:val="0042360C"/>
    <w:rsid w:val="00481B0D"/>
    <w:rsid w:val="004E3B09"/>
    <w:rsid w:val="00522A7E"/>
    <w:rsid w:val="005279EE"/>
    <w:rsid w:val="006E511D"/>
    <w:rsid w:val="007F59ED"/>
    <w:rsid w:val="008515C9"/>
    <w:rsid w:val="0086309C"/>
    <w:rsid w:val="00876783"/>
    <w:rsid w:val="008B0CBC"/>
    <w:rsid w:val="009476E7"/>
    <w:rsid w:val="009C1C0D"/>
    <w:rsid w:val="009F087D"/>
    <w:rsid w:val="00A53602"/>
    <w:rsid w:val="00AE1AD1"/>
    <w:rsid w:val="00B452AD"/>
    <w:rsid w:val="00BD2932"/>
    <w:rsid w:val="00C554FC"/>
    <w:rsid w:val="00C80DA8"/>
    <w:rsid w:val="00C930CF"/>
    <w:rsid w:val="00CA6248"/>
    <w:rsid w:val="00D7768A"/>
    <w:rsid w:val="00DC0318"/>
    <w:rsid w:val="00DD42EB"/>
    <w:rsid w:val="00DD566D"/>
    <w:rsid w:val="00DF19E7"/>
    <w:rsid w:val="00E43ED9"/>
    <w:rsid w:val="00E5620B"/>
    <w:rsid w:val="00EA48D5"/>
    <w:rsid w:val="00EE2AFB"/>
    <w:rsid w:val="00F617C4"/>
    <w:rsid w:val="00F6563F"/>
    <w:rsid w:val="00FA0E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DA8"/>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80DA8"/>
    <w:rPr>
      <w:u w:val="single"/>
    </w:rPr>
  </w:style>
  <w:style w:type="table" w:customStyle="1" w:styleId="TableNormal">
    <w:name w:val="Table Normal"/>
    <w:rsid w:val="00C80DA8"/>
    <w:tblPr>
      <w:tblInd w:w="0" w:type="dxa"/>
      <w:tblCellMar>
        <w:top w:w="0" w:type="dxa"/>
        <w:left w:w="0" w:type="dxa"/>
        <w:bottom w:w="0" w:type="dxa"/>
        <w:right w:w="0" w:type="dxa"/>
      </w:tblCellMar>
    </w:tblPr>
  </w:style>
  <w:style w:type="paragraph" w:styleId="Encabezado">
    <w:name w:val="header"/>
    <w:rsid w:val="00C80DA8"/>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sid w:val="00C80DA8"/>
    <w:rPr>
      <w:lang w:val="es-ES_tradnl"/>
    </w:rPr>
  </w:style>
  <w:style w:type="paragraph" w:styleId="Piedepgina">
    <w:name w:val="footer"/>
    <w:rsid w:val="00C80DA8"/>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rsid w:val="00C80DA8"/>
    <w:pPr>
      <w:tabs>
        <w:tab w:val="right" w:pos="9020"/>
      </w:tabs>
    </w:pPr>
    <w:rPr>
      <w:rFonts w:ascii="Helvetica" w:eastAsia="Helvetica" w:hAnsi="Helvetica" w:cs="Helvetica"/>
      <w:color w:val="000000"/>
      <w:sz w:val="24"/>
      <w:szCs w:val="24"/>
    </w:rPr>
  </w:style>
  <w:style w:type="paragraph" w:customStyle="1" w:styleId="Cuerpo">
    <w:name w:val="Cuerpo"/>
    <w:rsid w:val="00C80DA8"/>
    <w:rPr>
      <w:rFonts w:ascii="Arial" w:eastAsia="Arial" w:hAnsi="Arial" w:cs="Arial"/>
      <w:color w:val="000000"/>
      <w:sz w:val="24"/>
      <w:szCs w:val="24"/>
      <w:u w:color="000000"/>
    </w:rPr>
  </w:style>
  <w:style w:type="paragraph" w:styleId="Prrafodelista">
    <w:name w:val="List Paragraph"/>
    <w:uiPriority w:val="34"/>
    <w:qFormat/>
    <w:rsid w:val="00C80DA8"/>
    <w:pPr>
      <w:ind w:left="708"/>
    </w:pPr>
    <w:rPr>
      <w:rFonts w:ascii="Arial" w:hAnsi="Arial" w:cs="Arial Unicode MS"/>
      <w:color w:val="000000"/>
      <w:sz w:val="24"/>
      <w:szCs w:val="24"/>
      <w:u w:color="000000"/>
      <w:lang w:val="es-ES_tradnl"/>
    </w:rPr>
  </w:style>
  <w:style w:type="numbering" w:customStyle="1" w:styleId="Estiloimportado1">
    <w:name w:val="Estilo importado 1"/>
    <w:rsid w:val="00C80DA8"/>
    <w:pPr>
      <w:numPr>
        <w:numId w:val="1"/>
      </w:numPr>
    </w:pPr>
  </w:style>
  <w:style w:type="paragraph" w:styleId="Textodeglobo">
    <w:name w:val="Balloon Text"/>
    <w:basedOn w:val="Normal"/>
    <w:link w:val="TextodegloboCar"/>
    <w:uiPriority w:val="99"/>
    <w:semiHidden/>
    <w:unhideWhenUsed/>
    <w:rsid w:val="00063C1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C1D"/>
    <w:rPr>
      <w:rFonts w:ascii="Tahoma" w:hAnsi="Tahoma" w:cs="Tahoma"/>
      <w:sz w:val="16"/>
      <w:szCs w:val="16"/>
      <w:lang w:val="en-US" w:eastAsia="en-US"/>
    </w:rPr>
  </w:style>
  <w:style w:type="paragraph" w:styleId="Textonotapie">
    <w:name w:val="footnote text"/>
    <w:basedOn w:val="Normal"/>
    <w:link w:val="TextonotapieCar"/>
    <w:uiPriority w:val="99"/>
    <w:semiHidden/>
    <w:unhideWhenUsed/>
    <w:rsid w:val="00A53602"/>
    <w:rPr>
      <w:sz w:val="20"/>
      <w:szCs w:val="20"/>
    </w:rPr>
  </w:style>
  <w:style w:type="character" w:customStyle="1" w:styleId="TextonotapieCar">
    <w:name w:val="Texto nota pie Car"/>
    <w:basedOn w:val="Fuentedeprrafopredeter"/>
    <w:link w:val="Textonotapie"/>
    <w:uiPriority w:val="99"/>
    <w:semiHidden/>
    <w:rsid w:val="00A53602"/>
    <w:rPr>
      <w:lang w:val="en-US" w:eastAsia="en-US"/>
    </w:rPr>
  </w:style>
  <w:style w:type="character" w:styleId="Refdenotaalpie">
    <w:name w:val="footnote reference"/>
    <w:basedOn w:val="Fuentedeprrafopredeter"/>
    <w:uiPriority w:val="99"/>
    <w:semiHidden/>
    <w:unhideWhenUsed/>
    <w:rsid w:val="00A536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Pr>
      <w:lang w:val="es-ES_tradnl"/>
    </w:rPr>
  </w:style>
  <w:style w:type="paragraph" w:styleId="Piedepgina">
    <w:name w:val="footer"/>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customStyle="1" w:styleId="Cuerpo">
    <w:name w:val="Cuerpo"/>
    <w:rPr>
      <w:rFonts w:ascii="Arial" w:eastAsia="Arial" w:hAnsi="Arial" w:cs="Arial"/>
      <w:color w:val="000000"/>
      <w:sz w:val="24"/>
      <w:szCs w:val="24"/>
      <w:u w:color="000000"/>
    </w:rPr>
  </w:style>
  <w:style w:type="paragraph" w:styleId="Prrafodelista">
    <w:name w:val="List Paragraph"/>
    <w:uiPriority w:val="34"/>
    <w:qFormat/>
    <w:pPr>
      <w:ind w:left="708"/>
    </w:pPr>
    <w:rPr>
      <w:rFonts w:ascii="Arial" w:hAnsi="Arial" w:cs="Arial Unicode MS"/>
      <w:color w:val="000000"/>
      <w:sz w:val="24"/>
      <w:szCs w:val="24"/>
      <w:u w:color="000000"/>
      <w:lang w:val="es-ES_tradnl"/>
    </w:rPr>
  </w:style>
  <w:style w:type="numbering" w:customStyle="1" w:styleId="Estiloimportado1">
    <w:name w:val="Estilo importado 1"/>
    <w:pPr>
      <w:numPr>
        <w:numId w:val="1"/>
      </w:numPr>
    </w:pPr>
  </w:style>
  <w:style w:type="paragraph" w:styleId="Textodeglobo">
    <w:name w:val="Balloon Text"/>
    <w:basedOn w:val="Normal"/>
    <w:link w:val="TextodegloboCar"/>
    <w:uiPriority w:val="99"/>
    <w:semiHidden/>
    <w:unhideWhenUsed/>
    <w:rsid w:val="00063C1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C1D"/>
    <w:rPr>
      <w:rFonts w:ascii="Tahoma" w:hAnsi="Tahoma" w:cs="Tahoma"/>
      <w:sz w:val="16"/>
      <w:szCs w:val="16"/>
      <w:lang w:val="en-US" w:eastAsia="en-US"/>
    </w:rPr>
  </w:style>
  <w:style w:type="paragraph" w:styleId="Textonotapie">
    <w:name w:val="footnote text"/>
    <w:basedOn w:val="Normal"/>
    <w:link w:val="TextonotapieCar"/>
    <w:uiPriority w:val="99"/>
    <w:semiHidden/>
    <w:unhideWhenUsed/>
    <w:rsid w:val="00A53602"/>
    <w:rPr>
      <w:sz w:val="20"/>
      <w:szCs w:val="20"/>
    </w:rPr>
  </w:style>
  <w:style w:type="character" w:customStyle="1" w:styleId="TextonotapieCar">
    <w:name w:val="Texto nota pie Car"/>
    <w:basedOn w:val="Fuentedeprrafopredeter"/>
    <w:link w:val="Textonotapie"/>
    <w:uiPriority w:val="99"/>
    <w:semiHidden/>
    <w:rsid w:val="00A53602"/>
    <w:rPr>
      <w:lang w:val="en-US" w:eastAsia="en-US"/>
    </w:rPr>
  </w:style>
  <w:style w:type="character" w:styleId="Refdenotaalpie">
    <w:name w:val="footnote reference"/>
    <w:basedOn w:val="Fuentedeprrafopredeter"/>
    <w:uiPriority w:val="99"/>
    <w:semiHidden/>
    <w:unhideWhenUsed/>
    <w:rsid w:val="00A53602"/>
    <w:rPr>
      <w:vertAlign w:val="superscript"/>
    </w:rPr>
  </w:style>
</w:styles>
</file>

<file path=word/webSettings.xml><?xml version="1.0" encoding="utf-8"?>
<w:webSettings xmlns:r="http://schemas.openxmlformats.org/officeDocument/2006/relationships" xmlns:w="http://schemas.openxmlformats.org/wordprocessingml/2006/main">
  <w:divs>
    <w:div w:id="866799765">
      <w:bodyDiv w:val="1"/>
      <w:marLeft w:val="0"/>
      <w:marRight w:val="0"/>
      <w:marTop w:val="0"/>
      <w:marBottom w:val="0"/>
      <w:divBdr>
        <w:top w:val="none" w:sz="0" w:space="0" w:color="auto"/>
        <w:left w:val="none" w:sz="0" w:space="0" w:color="auto"/>
        <w:bottom w:val="none" w:sz="0" w:space="0" w:color="auto"/>
        <w:right w:val="none" w:sz="0" w:space="0" w:color="auto"/>
      </w:divBdr>
      <w:divsChild>
        <w:div w:id="1256208693">
          <w:marLeft w:val="360"/>
          <w:marRight w:val="0"/>
          <w:marTop w:val="91"/>
          <w:marBottom w:val="0"/>
          <w:divBdr>
            <w:top w:val="none" w:sz="0" w:space="0" w:color="auto"/>
            <w:left w:val="none" w:sz="0" w:space="0" w:color="auto"/>
            <w:bottom w:val="none" w:sz="0" w:space="0" w:color="auto"/>
            <w:right w:val="none" w:sz="0" w:space="0" w:color="auto"/>
          </w:divBdr>
        </w:div>
      </w:divsChild>
    </w:div>
    <w:div w:id="1043402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6385">
          <w:marLeft w:val="360"/>
          <w:marRight w:val="0"/>
          <w:marTop w:val="91"/>
          <w:marBottom w:val="0"/>
          <w:divBdr>
            <w:top w:val="none" w:sz="0" w:space="0" w:color="auto"/>
            <w:left w:val="none" w:sz="0" w:space="0" w:color="auto"/>
            <w:bottom w:val="none" w:sz="0" w:space="0" w:color="auto"/>
            <w:right w:val="none" w:sz="0" w:space="0" w:color="auto"/>
          </w:divBdr>
        </w:div>
      </w:divsChild>
    </w:div>
    <w:div w:id="1143035830">
      <w:bodyDiv w:val="1"/>
      <w:marLeft w:val="0"/>
      <w:marRight w:val="0"/>
      <w:marTop w:val="0"/>
      <w:marBottom w:val="0"/>
      <w:divBdr>
        <w:top w:val="none" w:sz="0" w:space="0" w:color="auto"/>
        <w:left w:val="none" w:sz="0" w:space="0" w:color="auto"/>
        <w:bottom w:val="none" w:sz="0" w:space="0" w:color="auto"/>
        <w:right w:val="none" w:sz="0" w:space="0" w:color="auto"/>
      </w:divBdr>
      <w:divsChild>
        <w:div w:id="1281179814">
          <w:marLeft w:val="360"/>
          <w:marRight w:val="0"/>
          <w:marTop w:val="91"/>
          <w:marBottom w:val="0"/>
          <w:divBdr>
            <w:top w:val="none" w:sz="0" w:space="0" w:color="auto"/>
            <w:left w:val="none" w:sz="0" w:space="0" w:color="auto"/>
            <w:bottom w:val="none" w:sz="0" w:space="0" w:color="auto"/>
            <w:right w:val="none" w:sz="0" w:space="0" w:color="auto"/>
          </w:divBdr>
        </w:div>
      </w:divsChild>
    </w:div>
    <w:div w:id="1478689200">
      <w:bodyDiv w:val="1"/>
      <w:marLeft w:val="0"/>
      <w:marRight w:val="0"/>
      <w:marTop w:val="0"/>
      <w:marBottom w:val="0"/>
      <w:divBdr>
        <w:top w:val="none" w:sz="0" w:space="0" w:color="auto"/>
        <w:left w:val="none" w:sz="0" w:space="0" w:color="auto"/>
        <w:bottom w:val="none" w:sz="0" w:space="0" w:color="auto"/>
        <w:right w:val="none" w:sz="0" w:space="0" w:color="auto"/>
      </w:divBdr>
      <w:divsChild>
        <w:div w:id="2002270194">
          <w:marLeft w:val="360"/>
          <w:marRight w:val="0"/>
          <w:marTop w:val="91"/>
          <w:marBottom w:val="0"/>
          <w:divBdr>
            <w:top w:val="none" w:sz="0" w:space="0" w:color="auto"/>
            <w:left w:val="none" w:sz="0" w:space="0" w:color="auto"/>
            <w:bottom w:val="none" w:sz="0" w:space="0" w:color="auto"/>
            <w:right w:val="none" w:sz="0" w:space="0" w:color="auto"/>
          </w:divBdr>
        </w:div>
      </w:divsChild>
    </w:div>
    <w:div w:id="1990209202">
      <w:bodyDiv w:val="1"/>
      <w:marLeft w:val="0"/>
      <w:marRight w:val="0"/>
      <w:marTop w:val="0"/>
      <w:marBottom w:val="0"/>
      <w:divBdr>
        <w:top w:val="none" w:sz="0" w:space="0" w:color="auto"/>
        <w:left w:val="none" w:sz="0" w:space="0" w:color="auto"/>
        <w:bottom w:val="none" w:sz="0" w:space="0" w:color="auto"/>
        <w:right w:val="none" w:sz="0" w:space="0" w:color="auto"/>
      </w:divBdr>
      <w:divsChild>
        <w:div w:id="85461029">
          <w:marLeft w:val="360"/>
          <w:marRight w:val="0"/>
          <w:marTop w:val="9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oleObject" Target="file:///G:\Observatorio%20en%20curso\Demanda%20de%20medicament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ES"/>
  <c:style val="43"/>
  <c:chart>
    <c:title>
      <c:tx>
        <c:rich>
          <a:bodyPr/>
          <a:lstStyle/>
          <a:p>
            <a:pPr>
              <a:defRPr/>
            </a:pPr>
            <a:r>
              <a:rPr lang="es-ES"/>
              <a:t>%crecimiento de recetas +/-</a:t>
            </a:r>
          </a:p>
        </c:rich>
      </c:tx>
      <c:layout>
        <c:manualLayout>
          <c:xMode val="edge"/>
          <c:yMode val="edge"/>
          <c:x val="0.20803464784293277"/>
          <c:y val="2.777783016643879E-2"/>
        </c:manualLayout>
      </c:layout>
    </c:title>
    <c:plotArea>
      <c:layout>
        <c:manualLayout>
          <c:layoutTarget val="inner"/>
          <c:xMode val="edge"/>
          <c:yMode val="edge"/>
          <c:x val="5.8123386750569217E-2"/>
          <c:y val="0.21795149857764801"/>
          <c:w val="0.90303937007874013"/>
          <c:h val="0.75379593175853066"/>
        </c:manualLayout>
      </c:layout>
      <c:barChart>
        <c:barDir val="col"/>
        <c:grouping val="clustered"/>
        <c:ser>
          <c:idx val="0"/>
          <c:order val="0"/>
          <c:tx>
            <c:strRef>
              <c:f>Hoja1!$B$42</c:f>
              <c:strCache>
                <c:ptCount val="1"/>
                <c:pt idx="0">
                  <c:v>%crecimiento +/-</c:v>
                </c:pt>
              </c:strCache>
            </c:strRef>
          </c:tx>
          <c:spPr>
            <a:solidFill>
              <a:srgbClr val="FFC000"/>
            </a:solidFill>
            <a:scene3d>
              <a:camera prst="orthographicFront"/>
              <a:lightRig rig="threePt" dir="t"/>
            </a:scene3d>
            <a:sp3d>
              <a:bevelT w="63500" h="25400"/>
            </a:sp3d>
          </c:spPr>
          <c:dPt>
            <c:idx val="3"/>
            <c:spPr>
              <a:solidFill>
                <a:schemeClr val="accent1"/>
              </a:solidFill>
              <a:scene3d>
                <a:camera prst="orthographicFront"/>
                <a:lightRig rig="threePt" dir="t"/>
              </a:scene3d>
              <a:sp3d>
                <a:bevelT w="63500" h="25400"/>
              </a:sp3d>
            </c:spPr>
          </c:dPt>
          <c:dPt>
            <c:idx val="6"/>
            <c:spPr>
              <a:solidFill>
                <a:schemeClr val="accent1"/>
              </a:solidFill>
              <a:scene3d>
                <a:camera prst="orthographicFront"/>
                <a:lightRig rig="threePt" dir="t"/>
              </a:scene3d>
              <a:sp3d>
                <a:bevelT w="63500" h="25400"/>
              </a:sp3d>
            </c:spPr>
          </c:dPt>
          <c:dPt>
            <c:idx val="10"/>
            <c:spPr>
              <a:solidFill>
                <a:schemeClr val="accent1"/>
              </a:solidFill>
              <a:scene3d>
                <a:camera prst="orthographicFront"/>
                <a:lightRig rig="threePt" dir="t"/>
              </a:scene3d>
              <a:sp3d>
                <a:bevelT w="63500" h="25400"/>
              </a:sp3d>
            </c:spPr>
          </c:dPt>
          <c:dPt>
            <c:idx val="12"/>
            <c:spPr>
              <a:solidFill>
                <a:srgbClr val="0070C0"/>
              </a:solidFill>
              <a:scene3d>
                <a:camera prst="orthographicFront"/>
                <a:lightRig rig="threePt" dir="t"/>
              </a:scene3d>
              <a:sp3d>
                <a:bevelT w="63500" h="25400"/>
              </a:sp3d>
            </c:spPr>
          </c:dPt>
          <c:dLbls>
            <c:dLbl>
              <c:idx val="0"/>
              <c:layout>
                <c:manualLayout>
                  <c:x val="8.3333061628166043E-3"/>
                  <c:y val="2.8883964354755065E-3"/>
                </c:manualLayout>
              </c:layout>
              <c:spPr/>
              <c:txPr>
                <a:bodyPr/>
                <a:lstStyle/>
                <a:p>
                  <a:pPr>
                    <a:defRPr/>
                  </a:pPr>
                  <a:endParaRPr lang="es-ES"/>
                </a:p>
              </c:txPr>
              <c:dLblPos val="outEnd"/>
              <c:showVal val="1"/>
            </c:dLbl>
            <c:dLbl>
              <c:idx val="1"/>
              <c:layout>
                <c:manualLayout>
                  <c:x val="0"/>
                  <c:y val="-2.7777777777777801E-2"/>
                </c:manualLayout>
              </c:layout>
              <c:spPr/>
              <c:txPr>
                <a:bodyPr/>
                <a:lstStyle/>
                <a:p>
                  <a:pPr>
                    <a:defRPr/>
                  </a:pPr>
                  <a:endParaRPr lang="es-ES"/>
                </a:p>
              </c:txPr>
              <c:dLblPos val="outEnd"/>
              <c:showVal val="1"/>
            </c:dLbl>
            <c:dLbl>
              <c:idx val="2"/>
              <c:layout>
                <c:manualLayout>
                  <c:x val="8.3333333333333367E-3"/>
                  <c:y val="-0.10195385164233109"/>
                </c:manualLayout>
              </c:layout>
              <c:spPr/>
              <c:txPr>
                <a:bodyPr/>
                <a:lstStyle/>
                <a:p>
                  <a:pPr>
                    <a:defRPr/>
                  </a:pPr>
                  <a:endParaRPr lang="es-ES"/>
                </a:p>
              </c:txPr>
              <c:dLblPos val="outEnd"/>
              <c:showVal val="1"/>
            </c:dLbl>
            <c:dLbl>
              <c:idx val="3"/>
              <c:layout>
                <c:manualLayout>
                  <c:x val="-1.2391962151227912E-4"/>
                  <c:y val="-7.9574701220599883E-3"/>
                </c:manualLayout>
              </c:layout>
              <c:spPr/>
              <c:txPr>
                <a:bodyPr/>
                <a:lstStyle/>
                <a:p>
                  <a:pPr>
                    <a:defRPr/>
                  </a:pPr>
                  <a:endParaRPr lang="es-ES"/>
                </a:p>
              </c:txPr>
              <c:dLblPos val="outEnd"/>
              <c:showVal val="1"/>
            </c:dLbl>
            <c:dLbl>
              <c:idx val="4"/>
              <c:layout>
                <c:manualLayout>
                  <c:x val="2.7778474346757606E-3"/>
                  <c:y val="-1.7801263919679948E-2"/>
                </c:manualLayout>
              </c:layout>
              <c:spPr/>
              <c:txPr>
                <a:bodyPr/>
                <a:lstStyle/>
                <a:p>
                  <a:pPr>
                    <a:defRPr/>
                  </a:pPr>
                  <a:endParaRPr lang="es-ES"/>
                </a:p>
              </c:txPr>
              <c:dLblPos val="outEnd"/>
              <c:showVal val="1"/>
            </c:dLbl>
            <c:dLbl>
              <c:idx val="5"/>
              <c:layout>
                <c:manualLayout>
                  <c:x val="1.2391962151232777E-4"/>
                  <c:y val="8.2237596514028021E-3"/>
                </c:manualLayout>
              </c:layout>
              <c:spPr/>
              <c:txPr>
                <a:bodyPr/>
                <a:lstStyle/>
                <a:p>
                  <a:pPr>
                    <a:defRPr/>
                  </a:pPr>
                  <a:endParaRPr lang="es-ES"/>
                </a:p>
              </c:txPr>
              <c:dLblPos val="outEnd"/>
              <c:showVal val="1"/>
            </c:dLbl>
            <c:dLbl>
              <c:idx val="6"/>
              <c:layout>
                <c:manualLayout>
                  <c:x val="1.2368019214989442E-4"/>
                  <c:y val="-0.10120986373709275"/>
                </c:manualLayout>
              </c:layout>
              <c:spPr/>
              <c:txPr>
                <a:bodyPr/>
                <a:lstStyle/>
                <a:p>
                  <a:pPr>
                    <a:defRPr/>
                  </a:pPr>
                  <a:endParaRPr lang="es-ES"/>
                </a:p>
              </c:txPr>
              <c:dLblPos val="outEnd"/>
              <c:showVal val="1"/>
            </c:dLbl>
            <c:dLbl>
              <c:idx val="7"/>
              <c:layout>
                <c:manualLayout>
                  <c:x val="2.4757774843361984E-4"/>
                  <c:y val="-1.0471969446932908E-2"/>
                </c:manualLayout>
              </c:layout>
              <c:spPr/>
              <c:txPr>
                <a:bodyPr/>
                <a:lstStyle/>
                <a:p>
                  <a:pPr>
                    <a:defRPr/>
                  </a:pPr>
                  <a:endParaRPr lang="es-ES"/>
                </a:p>
              </c:txPr>
              <c:dLblPos val="outEnd"/>
              <c:showVal val="1"/>
            </c:dLbl>
            <c:dLbl>
              <c:idx val="8"/>
              <c:layout>
                <c:manualLayout>
                  <c:x val="0"/>
                  <c:y val="-0.11388938658116836"/>
                </c:manualLayout>
              </c:layout>
              <c:spPr/>
              <c:txPr>
                <a:bodyPr/>
                <a:lstStyle/>
                <a:p>
                  <a:pPr>
                    <a:defRPr/>
                  </a:pPr>
                  <a:endParaRPr lang="es-ES"/>
                </a:p>
              </c:txPr>
              <c:dLblPos val="outEnd"/>
              <c:showVal val="1"/>
            </c:dLbl>
            <c:dLbl>
              <c:idx val="9"/>
              <c:layout>
                <c:manualLayout>
                  <c:x val="-2.4959923487824914E-3"/>
                  <c:y val="-9.2391280431263448E-2"/>
                </c:manualLayout>
              </c:layout>
              <c:spPr/>
              <c:txPr>
                <a:bodyPr/>
                <a:lstStyle/>
                <a:p>
                  <a:pPr>
                    <a:defRPr/>
                  </a:pPr>
                  <a:endParaRPr lang="es-ES"/>
                </a:p>
              </c:txPr>
              <c:dLblPos val="outEnd"/>
              <c:showVal val="1"/>
            </c:dLbl>
            <c:dLbl>
              <c:idx val="10"/>
              <c:layout>
                <c:manualLayout>
                  <c:x val="2.7777777777777809E-3"/>
                  <c:y val="-9.2588947214931449E-3"/>
                </c:manualLayout>
              </c:layout>
              <c:spPr/>
              <c:txPr>
                <a:bodyPr/>
                <a:lstStyle/>
                <a:p>
                  <a:pPr>
                    <a:defRPr/>
                  </a:pPr>
                  <a:endParaRPr lang="es-ES"/>
                </a:p>
              </c:txPr>
              <c:dLblPos val="outEnd"/>
              <c:showVal val="1"/>
            </c:dLbl>
            <c:dLbl>
              <c:idx val="11"/>
              <c:layout>
                <c:manualLayout>
                  <c:x val="1.4085195872255105E-4"/>
                  <c:y val="-4.1595549059361595E-2"/>
                </c:manualLayout>
              </c:layout>
              <c:spPr/>
              <c:txPr>
                <a:bodyPr/>
                <a:lstStyle/>
                <a:p>
                  <a:pPr>
                    <a:defRPr/>
                  </a:pPr>
                  <a:endParaRPr lang="es-ES"/>
                </a:p>
              </c:txPr>
              <c:dLblPos val="outEnd"/>
              <c:showVal val="1"/>
            </c:dLbl>
            <c:dLbl>
              <c:idx val="12"/>
              <c:layout>
                <c:manualLayout>
                  <c:x val="-8.3161343962439606E-3"/>
                  <c:y val="-4.6288525311581558E-3"/>
                </c:manualLayout>
              </c:layout>
              <c:spPr/>
              <c:txPr>
                <a:bodyPr/>
                <a:lstStyle/>
                <a:p>
                  <a:pPr>
                    <a:defRPr/>
                  </a:pPr>
                  <a:endParaRPr lang="es-ES"/>
                </a:p>
              </c:txPr>
              <c:dLblPos val="outEnd"/>
              <c:showVal val="1"/>
            </c:dLbl>
            <c:dLbl>
              <c:idx val="13"/>
              <c:layout>
                <c:manualLayout>
                  <c:x val="0"/>
                  <c:y val="-1.3888524351122786E-2"/>
                </c:manualLayout>
              </c:layout>
              <c:spPr/>
              <c:txPr>
                <a:bodyPr/>
                <a:lstStyle/>
                <a:p>
                  <a:pPr>
                    <a:defRPr/>
                  </a:pPr>
                  <a:endParaRPr lang="es-ES"/>
                </a:p>
              </c:txPr>
              <c:dLblPos val="outEnd"/>
              <c:showVal val="1"/>
            </c:dLbl>
            <c:dLbl>
              <c:idx val="14"/>
              <c:layout>
                <c:manualLayout>
                  <c:x val="-2.6539278131634827E-3"/>
                  <c:y val="-6.2567209438625954E-2"/>
                </c:manualLayout>
              </c:layout>
              <c:spPr/>
              <c:txPr>
                <a:bodyPr/>
                <a:lstStyle/>
                <a:p>
                  <a:pPr>
                    <a:defRPr/>
                  </a:pPr>
                  <a:endParaRPr lang="es-ES"/>
                </a:p>
              </c:txPr>
              <c:dLblPos val="outEnd"/>
              <c:showVal val="1"/>
            </c:dLbl>
            <c:showVal val="1"/>
          </c:dLbls>
          <c:cat>
            <c:strRef>
              <c:f>Hoja1!$A$89:$A$100</c:f>
              <c:strCache>
                <c:ptCount val="12"/>
                <c:pt idx="0">
                  <c:v>Abril</c:v>
                </c:pt>
                <c:pt idx="1">
                  <c:v>Mayo</c:v>
                </c:pt>
                <c:pt idx="2">
                  <c:v>Junio </c:v>
                </c:pt>
                <c:pt idx="3">
                  <c:v>Julio</c:v>
                </c:pt>
                <c:pt idx="4">
                  <c:v>Agosto </c:v>
                </c:pt>
                <c:pt idx="5">
                  <c:v>Septiembre</c:v>
                </c:pt>
                <c:pt idx="6">
                  <c:v>Octubre</c:v>
                </c:pt>
                <c:pt idx="7">
                  <c:v>Noviembre</c:v>
                </c:pt>
                <c:pt idx="8">
                  <c:v>Diciembre</c:v>
                </c:pt>
                <c:pt idx="9">
                  <c:v>Enero</c:v>
                </c:pt>
                <c:pt idx="10">
                  <c:v>Febrero</c:v>
                </c:pt>
                <c:pt idx="11">
                  <c:v>Marzo</c:v>
                </c:pt>
              </c:strCache>
            </c:strRef>
          </c:cat>
          <c:val>
            <c:numRef>
              <c:f>Hoja1!$B$89:$B$100</c:f>
              <c:numCache>
                <c:formatCode>General</c:formatCode>
                <c:ptCount val="12"/>
                <c:pt idx="0">
                  <c:v>3.25</c:v>
                </c:pt>
                <c:pt idx="1">
                  <c:v>5.42</c:v>
                </c:pt>
                <c:pt idx="2">
                  <c:v>3.46</c:v>
                </c:pt>
                <c:pt idx="3">
                  <c:v>-2.69</c:v>
                </c:pt>
                <c:pt idx="4">
                  <c:v>8.360000000000003</c:v>
                </c:pt>
                <c:pt idx="5">
                  <c:v>1.6</c:v>
                </c:pt>
                <c:pt idx="6">
                  <c:v>-1.07</c:v>
                </c:pt>
                <c:pt idx="7">
                  <c:v>4.8199999999999985</c:v>
                </c:pt>
                <c:pt idx="8">
                  <c:v>1.4</c:v>
                </c:pt>
                <c:pt idx="9">
                  <c:v>6.6</c:v>
                </c:pt>
                <c:pt idx="10">
                  <c:v>-4.57</c:v>
                </c:pt>
                <c:pt idx="11">
                  <c:v>3.38</c:v>
                </c:pt>
              </c:numCache>
            </c:numRef>
          </c:val>
        </c:ser>
        <c:gapWidth val="46"/>
        <c:axId val="108419328"/>
        <c:axId val="108445696"/>
      </c:barChart>
      <c:catAx>
        <c:axId val="108419328"/>
        <c:scaling>
          <c:orientation val="minMax"/>
        </c:scaling>
        <c:axPos val="b"/>
        <c:numFmt formatCode="General" sourceLinked="1"/>
        <c:tickLblPos val="nextTo"/>
        <c:txPr>
          <a:bodyPr rot="-5400000" vert="horz"/>
          <a:lstStyle/>
          <a:p>
            <a:pPr>
              <a:defRPr/>
            </a:pPr>
            <a:endParaRPr lang="es-ES"/>
          </a:p>
        </c:txPr>
        <c:crossAx val="108445696"/>
        <c:crosses val="autoZero"/>
        <c:auto val="1"/>
        <c:lblAlgn val="ctr"/>
        <c:lblOffset val="100"/>
      </c:catAx>
      <c:valAx>
        <c:axId val="108445696"/>
        <c:scaling>
          <c:orientation val="minMax"/>
        </c:scaling>
        <c:axPos val="l"/>
        <c:majorGridlines/>
        <c:numFmt formatCode="General" sourceLinked="1"/>
        <c:tickLblPos val="nextTo"/>
        <c:crossAx val="108419328"/>
        <c:crosses val="autoZero"/>
        <c:crossBetween val="between"/>
      </c:valAx>
    </c:plotArea>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C89E-B422-4811-8AA2-51995AD3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2386</Words>
  <Characters>13125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cp:lastModifiedBy>
  <cp:revision>12</cp:revision>
  <dcterms:created xsi:type="dcterms:W3CDTF">2017-04-29T14:16:00Z</dcterms:created>
  <dcterms:modified xsi:type="dcterms:W3CDTF">2017-05-14T14:41:00Z</dcterms:modified>
</cp:coreProperties>
</file>