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pPr>
    </w:p>
    <w:p w:rsidR="007F59ED" w:rsidRDefault="007F59ED">
      <w:pPr>
        <w:pStyle w:val="Cuerpo"/>
      </w:pPr>
    </w:p>
    <w:p w:rsidR="007F59ED" w:rsidRDefault="007F59ED">
      <w:pPr>
        <w:pStyle w:val="Cuerpo"/>
      </w:pPr>
    </w:p>
    <w:p w:rsidR="007F59ED" w:rsidRDefault="007F59ED">
      <w:pPr>
        <w:pStyle w:val="Cuerpo"/>
      </w:pPr>
    </w:p>
    <w:p w:rsidR="007F59ED" w:rsidRDefault="007F59ED">
      <w:pPr>
        <w:pStyle w:val="Cuerpo"/>
      </w:pPr>
    </w:p>
    <w:p w:rsidR="007F59ED" w:rsidRDefault="007F59ED">
      <w:pPr>
        <w:pStyle w:val="Cuerpo"/>
      </w:pPr>
    </w:p>
    <w:p w:rsidR="007F59ED" w:rsidRDefault="007F59ED">
      <w:pPr>
        <w:pStyle w:val="Cuerpo"/>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063C1D">
      <w:pPr>
        <w:pStyle w:val="Cuerpo"/>
        <w:rPr>
          <w:rStyle w:val="Ninguno"/>
          <w:rFonts w:ascii="Arial Black" w:eastAsia="Arial Black" w:hAnsi="Arial Black" w:cs="Arial Black"/>
          <w:color w:val="008080"/>
          <w:sz w:val="28"/>
          <w:szCs w:val="28"/>
          <w:u w:color="008080"/>
        </w:rPr>
      </w:pPr>
      <w:r>
        <w:rPr>
          <w:noProof/>
        </w:rPr>
        <w:drawing>
          <wp:anchor distT="57150" distB="57150" distL="57150" distR="57150" simplePos="0" relativeHeight="251659264" behindDoc="0" locked="0" layoutInCell="1" allowOverlap="1">
            <wp:simplePos x="0" y="0"/>
            <wp:positionH relativeFrom="column">
              <wp:posOffset>1828800</wp:posOffset>
            </wp:positionH>
            <wp:positionV relativeFrom="line">
              <wp:posOffset>165734</wp:posOffset>
            </wp:positionV>
            <wp:extent cx="1699261" cy="1546861"/>
            <wp:effectExtent l="0" t="0" r="0" b="0"/>
            <wp:wrapSquare wrapText="bothSides" distT="57150" distB="57150" distL="57150" distR="57150"/>
            <wp:docPr id="1073741826" name="officeArt object" descr="Logo FEFE"/>
            <wp:cNvGraphicFramePr/>
            <a:graphic xmlns:a="http://schemas.openxmlformats.org/drawingml/2006/main">
              <a:graphicData uri="http://schemas.openxmlformats.org/drawingml/2006/picture">
                <pic:pic xmlns:pic="http://schemas.openxmlformats.org/drawingml/2006/picture">
                  <pic:nvPicPr>
                    <pic:cNvPr id="1073741826" name="Logo FEFE" descr="Logo FEFE"/>
                    <pic:cNvPicPr>
                      <a:picLocks noChangeAspect="1"/>
                    </pic:cNvPicPr>
                  </pic:nvPicPr>
                  <pic:blipFill>
                    <a:blip r:embed="rId8" cstate="print">
                      <a:extLst/>
                    </a:blip>
                    <a:stretch>
                      <a:fillRect/>
                    </a:stretch>
                  </pic:blipFill>
                  <pic:spPr>
                    <a:xfrm>
                      <a:off x="0" y="0"/>
                      <a:ext cx="1699261" cy="1546861"/>
                    </a:xfrm>
                    <a:prstGeom prst="rect">
                      <a:avLst/>
                    </a:prstGeom>
                    <a:ln w="12700" cap="flat">
                      <a:noFill/>
                      <a:miter lim="400000"/>
                    </a:ln>
                    <a:effectLst/>
                  </pic:spPr>
                </pic:pic>
              </a:graphicData>
            </a:graphic>
          </wp:anchor>
        </w:drawing>
      </w: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jc w:val="center"/>
        <w:rPr>
          <w:rStyle w:val="Ninguno"/>
          <w:rFonts w:ascii="Arial Black" w:eastAsia="Arial Black" w:hAnsi="Arial Black" w:cs="Arial Black"/>
          <w:color w:val="008080"/>
          <w:sz w:val="32"/>
          <w:szCs w:val="32"/>
          <w:u w:color="008080"/>
        </w:rPr>
      </w:pPr>
    </w:p>
    <w:p w:rsidR="007F59ED" w:rsidRDefault="00063C1D">
      <w:pPr>
        <w:pStyle w:val="Cuerpo"/>
        <w:jc w:val="center"/>
        <w:rPr>
          <w:rStyle w:val="Ninguno"/>
          <w:rFonts w:ascii="Arial Black" w:eastAsia="Arial Black" w:hAnsi="Arial Black" w:cs="Arial Black"/>
          <w:color w:val="008080"/>
          <w:sz w:val="32"/>
          <w:szCs w:val="32"/>
          <w:u w:color="008080"/>
        </w:rPr>
      </w:pPr>
      <w:r>
        <w:rPr>
          <w:rStyle w:val="Ninguno"/>
          <w:rFonts w:ascii="Arial Black" w:hAnsi="Arial Black"/>
          <w:color w:val="008080"/>
          <w:sz w:val="32"/>
          <w:szCs w:val="32"/>
          <w:u w:color="008080"/>
          <w:lang w:val="de-DE"/>
        </w:rPr>
        <w:t xml:space="preserve">OBSERVATORIO </w:t>
      </w:r>
    </w:p>
    <w:p w:rsidR="007F59ED" w:rsidRDefault="00063C1D">
      <w:pPr>
        <w:pStyle w:val="Cuerpo"/>
        <w:jc w:val="center"/>
        <w:rPr>
          <w:rStyle w:val="Ninguno"/>
          <w:rFonts w:ascii="Arial Black" w:eastAsia="Arial Black" w:hAnsi="Arial Black" w:cs="Arial Black"/>
          <w:color w:val="008080"/>
          <w:sz w:val="32"/>
          <w:szCs w:val="32"/>
          <w:u w:color="008080"/>
        </w:rPr>
      </w:pPr>
      <w:r>
        <w:rPr>
          <w:rStyle w:val="Ninguno"/>
          <w:rFonts w:ascii="Arial Black" w:hAnsi="Arial Black"/>
          <w:color w:val="008080"/>
          <w:sz w:val="32"/>
          <w:szCs w:val="32"/>
          <w:u w:color="008080"/>
          <w:lang w:val="de-DE"/>
        </w:rPr>
        <w:t>DEL</w:t>
      </w:r>
    </w:p>
    <w:p w:rsidR="007F59ED" w:rsidRDefault="00063C1D">
      <w:pPr>
        <w:pStyle w:val="Cuerpo"/>
        <w:jc w:val="center"/>
        <w:rPr>
          <w:rStyle w:val="Ninguno"/>
          <w:rFonts w:ascii="Arial Black" w:eastAsia="Arial Black" w:hAnsi="Arial Black" w:cs="Arial Black"/>
          <w:color w:val="008080"/>
          <w:sz w:val="32"/>
          <w:szCs w:val="32"/>
          <w:u w:color="008080"/>
        </w:rPr>
      </w:pPr>
      <w:r>
        <w:rPr>
          <w:rStyle w:val="Ninguno"/>
          <w:rFonts w:ascii="Arial Black" w:hAnsi="Arial Black"/>
          <w:color w:val="008080"/>
          <w:sz w:val="32"/>
          <w:szCs w:val="32"/>
          <w:u w:color="008080"/>
        </w:rPr>
        <w:t>MEDICAMENTO</w:t>
      </w:r>
    </w:p>
    <w:p w:rsidR="007F59ED" w:rsidRDefault="007F59ED">
      <w:pPr>
        <w:pStyle w:val="Cuerpo"/>
        <w:jc w:val="center"/>
        <w:rPr>
          <w:rStyle w:val="Ninguno"/>
          <w:rFonts w:ascii="Arial Black" w:eastAsia="Arial Black" w:hAnsi="Arial Black" w:cs="Arial Black"/>
          <w:color w:val="008080"/>
          <w:sz w:val="32"/>
          <w:szCs w:val="32"/>
          <w:u w:color="008080"/>
        </w:rPr>
      </w:pPr>
    </w:p>
    <w:p w:rsidR="007F59ED" w:rsidRDefault="007F59ED">
      <w:pPr>
        <w:pStyle w:val="Cuerpo"/>
        <w:jc w:val="center"/>
        <w:rPr>
          <w:rStyle w:val="Ninguno"/>
          <w:rFonts w:ascii="Arial Black" w:eastAsia="Arial Black" w:hAnsi="Arial Black" w:cs="Arial Black"/>
          <w:color w:val="008080"/>
          <w:sz w:val="32"/>
          <w:szCs w:val="32"/>
          <w:u w:color="008080"/>
        </w:rPr>
      </w:pPr>
    </w:p>
    <w:p w:rsidR="007F59ED" w:rsidRDefault="007F59ED">
      <w:pPr>
        <w:pStyle w:val="Cuerpo"/>
        <w:jc w:val="center"/>
        <w:rPr>
          <w:rStyle w:val="Ninguno"/>
          <w:rFonts w:ascii="Arial Black" w:eastAsia="Arial Black" w:hAnsi="Arial Black" w:cs="Arial Black"/>
          <w:color w:val="008080"/>
          <w:sz w:val="32"/>
          <w:szCs w:val="32"/>
          <w:u w:color="008080"/>
        </w:rPr>
      </w:pPr>
    </w:p>
    <w:p w:rsidR="007F59ED" w:rsidRDefault="007F59ED">
      <w:pPr>
        <w:pStyle w:val="Cuerpo"/>
        <w:jc w:val="center"/>
        <w:rPr>
          <w:rStyle w:val="Ninguno"/>
          <w:rFonts w:ascii="Arial Black" w:eastAsia="Arial Black" w:hAnsi="Arial Black" w:cs="Arial Black"/>
          <w:color w:val="008080"/>
          <w:sz w:val="32"/>
          <w:szCs w:val="32"/>
          <w:u w:color="008080"/>
        </w:rPr>
      </w:pPr>
    </w:p>
    <w:p w:rsidR="007F59ED" w:rsidRDefault="007F59ED">
      <w:pPr>
        <w:pStyle w:val="Cuerpo"/>
        <w:jc w:val="center"/>
        <w:rPr>
          <w:rStyle w:val="Ninguno"/>
          <w:rFonts w:ascii="Arial Black" w:eastAsia="Arial Black" w:hAnsi="Arial Black" w:cs="Arial Black"/>
          <w:color w:val="008080"/>
          <w:sz w:val="32"/>
          <w:szCs w:val="32"/>
          <w:u w:color="008080"/>
        </w:rPr>
      </w:pPr>
    </w:p>
    <w:p w:rsidR="007F59ED" w:rsidRDefault="007F59ED">
      <w:pPr>
        <w:pStyle w:val="Cuerpo"/>
        <w:jc w:val="center"/>
        <w:rPr>
          <w:rStyle w:val="Ninguno"/>
          <w:rFonts w:ascii="Arial Black" w:eastAsia="Arial Black" w:hAnsi="Arial Black" w:cs="Arial Black"/>
          <w:color w:val="008080"/>
          <w:sz w:val="32"/>
          <w:szCs w:val="32"/>
          <w:u w:color="008080"/>
        </w:rPr>
      </w:pPr>
    </w:p>
    <w:p w:rsidR="007F59ED" w:rsidRDefault="007F59ED">
      <w:pPr>
        <w:pStyle w:val="Cuerpo"/>
        <w:jc w:val="right"/>
        <w:rPr>
          <w:rStyle w:val="Ninguno"/>
          <w:rFonts w:ascii="Arial Black" w:eastAsia="Arial Black" w:hAnsi="Arial Black" w:cs="Arial Black"/>
          <w:color w:val="008080"/>
          <w:u w:color="008080"/>
        </w:rPr>
      </w:pPr>
    </w:p>
    <w:p w:rsidR="007F59ED" w:rsidRDefault="007F59ED">
      <w:pPr>
        <w:pStyle w:val="Cuerpo"/>
        <w:jc w:val="right"/>
        <w:rPr>
          <w:rStyle w:val="Ninguno"/>
          <w:rFonts w:ascii="Arial Black" w:eastAsia="Arial Black" w:hAnsi="Arial Black" w:cs="Arial Black"/>
          <w:color w:val="008080"/>
          <w:u w:color="008080"/>
        </w:rPr>
      </w:pPr>
    </w:p>
    <w:p w:rsidR="007F59ED" w:rsidRDefault="007F59ED">
      <w:pPr>
        <w:pStyle w:val="Cuerpo"/>
        <w:jc w:val="right"/>
        <w:rPr>
          <w:rStyle w:val="Ninguno"/>
          <w:rFonts w:ascii="Arial Black" w:eastAsia="Arial Black" w:hAnsi="Arial Black" w:cs="Arial Black"/>
          <w:color w:val="008080"/>
          <w:u w:color="008080"/>
        </w:rPr>
      </w:pPr>
    </w:p>
    <w:p w:rsidR="007F59ED" w:rsidRDefault="002173B8">
      <w:pPr>
        <w:pStyle w:val="Cuerpo"/>
        <w:jc w:val="right"/>
        <w:rPr>
          <w:rStyle w:val="Ninguno"/>
          <w:rFonts w:ascii="Arial Black" w:eastAsia="Arial Black" w:hAnsi="Arial Black" w:cs="Arial Black"/>
          <w:color w:val="008080"/>
          <w:u w:color="008080"/>
        </w:rPr>
      </w:pPr>
      <w:r>
        <w:rPr>
          <w:rStyle w:val="Ninguno"/>
          <w:rFonts w:ascii="Arial Black" w:hAnsi="Arial Black"/>
          <w:color w:val="008080"/>
          <w:u w:color="008080"/>
        </w:rPr>
        <w:t>Abril</w:t>
      </w:r>
      <w:r w:rsidR="00063C1D">
        <w:rPr>
          <w:rStyle w:val="Ninguno"/>
          <w:rFonts w:ascii="Arial Black" w:hAnsi="Arial Black"/>
          <w:color w:val="008080"/>
          <w:u w:color="008080"/>
        </w:rPr>
        <w:t xml:space="preserve"> 2017</w:t>
      </w: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063C1D">
      <w:pPr>
        <w:pStyle w:val="Cuerpo"/>
        <w:rPr>
          <w:rStyle w:val="Ninguno"/>
          <w:rFonts w:ascii="Arial Black" w:eastAsia="Arial Black" w:hAnsi="Arial Black" w:cs="Arial Black"/>
          <w:color w:val="008080"/>
          <w:sz w:val="28"/>
          <w:szCs w:val="28"/>
          <w:u w:color="008080"/>
        </w:rPr>
      </w:pPr>
      <w:r>
        <w:rPr>
          <w:rStyle w:val="Ninguno"/>
          <w:rFonts w:ascii="Arial Black" w:hAnsi="Arial Black"/>
          <w:color w:val="008080"/>
          <w:sz w:val="28"/>
          <w:szCs w:val="28"/>
          <w:u w:color="008080"/>
          <w:lang w:val="it-IT"/>
        </w:rPr>
        <w:lastRenderedPageBreak/>
        <w:t>Observatorio del Medicamento</w:t>
      </w:r>
    </w:p>
    <w:p w:rsidR="00DF19E7" w:rsidRPr="002128B7" w:rsidRDefault="00DF19E7">
      <w:pPr>
        <w:pStyle w:val="Cuerpo"/>
        <w:jc w:val="both"/>
        <w:rPr>
          <w:sz w:val="14"/>
          <w:lang w:val="es-ES_tradnl"/>
        </w:rPr>
      </w:pPr>
    </w:p>
    <w:p w:rsidR="007F59ED" w:rsidRDefault="00063C1D">
      <w:pPr>
        <w:pStyle w:val="Cuerpo"/>
        <w:jc w:val="both"/>
      </w:pPr>
      <w:r>
        <w:rPr>
          <w:lang w:val="es-ES_tradnl"/>
        </w:rPr>
        <w:t>Los datos de consumo de medicamentos facilitados por el Ministerio de Sanidad, Servicios Sociales e Igualdad, que se dieron a conocer el d</w:t>
      </w:r>
      <w:r>
        <w:t>í</w:t>
      </w:r>
      <w:r w:rsidR="00876783">
        <w:rPr>
          <w:lang w:val="es-ES_tradnl"/>
        </w:rPr>
        <w:t>a 27</w:t>
      </w:r>
      <w:r>
        <w:rPr>
          <w:lang w:val="es-ES_tradnl"/>
        </w:rPr>
        <w:t xml:space="preserve"> de </w:t>
      </w:r>
      <w:r w:rsidR="00D26323">
        <w:rPr>
          <w:lang w:val="es-ES_tradnl"/>
        </w:rPr>
        <w:t>mayo</w:t>
      </w:r>
      <w:r>
        <w:rPr>
          <w:lang w:val="es-ES_tradnl"/>
        </w:rPr>
        <w:t xml:space="preserve">  de 2017, indican que en el mes de </w:t>
      </w:r>
      <w:r w:rsidR="00D26323">
        <w:rPr>
          <w:lang w:val="es-ES_tradnl"/>
        </w:rPr>
        <w:t>abril</w:t>
      </w:r>
      <w:r>
        <w:rPr>
          <w:lang w:val="es-ES_tradnl"/>
        </w:rPr>
        <w:t xml:space="preserve"> se ha producido un </w:t>
      </w:r>
      <w:r w:rsidR="00ED205D" w:rsidRPr="002128B7">
        <w:rPr>
          <w:b/>
          <w:lang w:val="es-ES_tradnl"/>
        </w:rPr>
        <w:t>descenso</w:t>
      </w:r>
      <w:r w:rsidRPr="002128B7">
        <w:rPr>
          <w:b/>
          <w:lang w:val="es-ES_tradnl"/>
        </w:rPr>
        <w:t xml:space="preserve"> del n</w:t>
      </w:r>
      <w:r w:rsidRPr="002128B7">
        <w:rPr>
          <w:b/>
        </w:rPr>
        <w:t>ú</w:t>
      </w:r>
      <w:r w:rsidRPr="002128B7">
        <w:rPr>
          <w:b/>
          <w:lang w:val="es-ES_tradnl"/>
        </w:rPr>
        <w:t>mero de recetas y gasto  que</w:t>
      </w:r>
      <w:r w:rsidR="00ED205D" w:rsidRPr="002128B7">
        <w:rPr>
          <w:b/>
          <w:lang w:val="es-ES_tradnl"/>
        </w:rPr>
        <w:t xml:space="preserve"> se debe fundamentalmente a la pérdida de dos días de facturación porque la Semana Santa ha caído este año en abril</w:t>
      </w:r>
      <w:r w:rsidR="006E511D" w:rsidRPr="002128B7">
        <w:rPr>
          <w:b/>
          <w:lang w:val="es-ES_tradnl"/>
        </w:rPr>
        <w:t>.</w:t>
      </w:r>
      <w:r w:rsidR="006E511D">
        <w:rPr>
          <w:lang w:val="es-ES_tradnl"/>
        </w:rPr>
        <w:t xml:space="preserve"> </w:t>
      </w:r>
      <w:r>
        <w:t xml:space="preserve"> </w:t>
      </w:r>
    </w:p>
    <w:p w:rsidR="007F59ED" w:rsidRDefault="007F59ED">
      <w:pPr>
        <w:pStyle w:val="Cuerpo"/>
        <w:jc w:val="both"/>
        <w:rPr>
          <w:rStyle w:val="Ninguno"/>
          <w:sz w:val="22"/>
          <w:szCs w:val="22"/>
        </w:rPr>
      </w:pPr>
    </w:p>
    <w:p w:rsidR="007F59ED" w:rsidRDefault="00063C1D">
      <w:pPr>
        <w:pStyle w:val="Cuerpo"/>
        <w:jc w:val="both"/>
      </w:pPr>
      <w:r>
        <w:rPr>
          <w:lang w:val="es-ES_tradnl"/>
        </w:rPr>
        <w:t>El gasto interanual  pasa de 9.</w:t>
      </w:r>
      <w:r w:rsidR="006E511D">
        <w:rPr>
          <w:lang w:val="es-ES_tradnl"/>
        </w:rPr>
        <w:t>6</w:t>
      </w:r>
      <w:r w:rsidR="00ED205D">
        <w:rPr>
          <w:lang w:val="es-ES_tradnl"/>
        </w:rPr>
        <w:t>4</w:t>
      </w:r>
      <w:r w:rsidR="006E511D">
        <w:rPr>
          <w:lang w:val="es-ES_tradnl"/>
        </w:rPr>
        <w:t>9,</w:t>
      </w:r>
      <w:r w:rsidR="00ED205D">
        <w:rPr>
          <w:lang w:val="es-ES_tradnl"/>
        </w:rPr>
        <w:t>5</w:t>
      </w:r>
      <w:r>
        <w:rPr>
          <w:lang w:val="es-ES_tradnl"/>
        </w:rPr>
        <w:t xml:space="preserve">  millones de euros en el año 2016 a </w:t>
      </w:r>
      <w:r w:rsidR="00ED205D">
        <w:rPr>
          <w:lang w:val="es-ES_tradnl"/>
        </w:rPr>
        <w:t>9.976,5</w:t>
      </w:r>
      <w:r>
        <w:rPr>
          <w:lang w:val="es-ES_tradnl"/>
        </w:rPr>
        <w:t xml:space="preserve"> millones en el mes de </w:t>
      </w:r>
      <w:r w:rsidR="00D26323">
        <w:rPr>
          <w:lang w:val="es-ES_tradnl"/>
        </w:rPr>
        <w:t>Abril</w:t>
      </w:r>
      <w:r>
        <w:rPr>
          <w:lang w:val="es-ES_tradnl"/>
        </w:rPr>
        <w:t xml:space="preserve"> del año 2017</w:t>
      </w:r>
      <w:r w:rsidR="00ED205D">
        <w:rPr>
          <w:lang w:val="es-ES_tradnl"/>
        </w:rPr>
        <w:t>.</w:t>
      </w:r>
      <w:r>
        <w:rPr>
          <w:lang w:val="es-ES_tradnl"/>
        </w:rPr>
        <w:t xml:space="preserve"> El aumento actual de </w:t>
      </w:r>
      <w:r w:rsidR="00ED205D">
        <w:rPr>
          <w:lang w:val="es-ES_tradnl"/>
        </w:rPr>
        <w:t>327</w:t>
      </w:r>
      <w:r>
        <w:rPr>
          <w:lang w:val="es-ES_tradnl"/>
        </w:rPr>
        <w:t xml:space="preserve"> millones</w:t>
      </w:r>
      <w:r w:rsidR="006E511D">
        <w:rPr>
          <w:lang w:val="es-ES_tradnl"/>
        </w:rPr>
        <w:t>, respecto al año anterior,</w:t>
      </w:r>
      <w:r>
        <w:rPr>
          <w:lang w:val="es-ES_tradnl"/>
        </w:rPr>
        <w:t xml:space="preserve"> </w:t>
      </w:r>
      <w:r w:rsidR="00ED205D" w:rsidRPr="002128B7">
        <w:rPr>
          <w:b/>
          <w:lang w:val="es-ES_tradnl"/>
        </w:rPr>
        <w:t>se verá ligeramente afectado por el pequeño impacto de 88 millones de euros</w:t>
      </w:r>
      <w:r w:rsidR="002128B7">
        <w:rPr>
          <w:lang w:val="es-ES_tradnl"/>
        </w:rPr>
        <w:t xml:space="preserve"> de la próxima Orden de Precios de Referencia </w:t>
      </w:r>
      <w:r w:rsidR="00ED205D">
        <w:rPr>
          <w:lang w:val="es-ES_tradnl"/>
        </w:rPr>
        <w:t>y</w:t>
      </w:r>
      <w:r>
        <w:rPr>
          <w:lang w:val="es-ES_tradnl"/>
        </w:rPr>
        <w:t xml:space="preserve"> </w:t>
      </w:r>
      <w:r w:rsidR="002128B7">
        <w:rPr>
          <w:lang w:val="es-ES_tradnl"/>
        </w:rPr>
        <w:t xml:space="preserve">los </w:t>
      </w:r>
      <w:r>
        <w:rPr>
          <w:lang w:val="es-ES_tradnl"/>
        </w:rPr>
        <w:t>cambios en la aportación de los beneficiarios implantados en algunas Comunidades Autó</w:t>
      </w:r>
      <w:r>
        <w:rPr>
          <w:lang w:val="pt-PT"/>
        </w:rPr>
        <w:t>nomas.</w:t>
      </w:r>
    </w:p>
    <w:p w:rsidR="007F59ED" w:rsidRDefault="007F59ED">
      <w:pPr>
        <w:pStyle w:val="Cuerpo"/>
        <w:jc w:val="both"/>
      </w:pPr>
    </w:p>
    <w:p w:rsidR="007F59ED" w:rsidRPr="00AE1AD1" w:rsidRDefault="00063C1D">
      <w:pPr>
        <w:pStyle w:val="Cuerpo"/>
        <w:jc w:val="both"/>
        <w:rPr>
          <w:rStyle w:val="Ninguno"/>
          <w:bCs/>
        </w:rPr>
      </w:pPr>
      <w:r w:rsidRPr="00AE1AD1">
        <w:rPr>
          <w:rStyle w:val="Ninguno"/>
          <w:bCs/>
        </w:rPr>
        <w:t>Sin embargo</w:t>
      </w:r>
      <w:r w:rsidR="006E511D" w:rsidRPr="00AE1AD1">
        <w:rPr>
          <w:rStyle w:val="Ninguno"/>
          <w:bCs/>
        </w:rPr>
        <w:t>, como venimos insistiendo,</w:t>
      </w:r>
      <w:r w:rsidRPr="00AE1AD1">
        <w:rPr>
          <w:rStyle w:val="Ninguno"/>
          <w:bCs/>
        </w:rPr>
        <w:t xml:space="preserve"> </w:t>
      </w:r>
      <w:r w:rsidRPr="002128B7">
        <w:rPr>
          <w:rStyle w:val="Ninguno"/>
          <w:b/>
          <w:bCs/>
        </w:rPr>
        <w:t>el consumo no crece, simplemente se recupera</w:t>
      </w:r>
      <w:r w:rsidRPr="00AE1AD1">
        <w:rPr>
          <w:rStyle w:val="Ninguno"/>
          <w:bCs/>
        </w:rPr>
        <w:t xml:space="preserve">, ya que en 2009 fue de 12.505,6 millones de euros. Es decir al consumo en </w:t>
      </w:r>
      <w:r w:rsidR="00D26323">
        <w:rPr>
          <w:rStyle w:val="Ninguno"/>
          <w:bCs/>
        </w:rPr>
        <w:t>abril</w:t>
      </w:r>
      <w:r w:rsidRPr="00AE1AD1">
        <w:rPr>
          <w:rStyle w:val="Ninguno"/>
          <w:bCs/>
        </w:rPr>
        <w:t xml:space="preserve"> 2017 le faltan todavía 2.5</w:t>
      </w:r>
      <w:r w:rsidR="00ED205D">
        <w:rPr>
          <w:rStyle w:val="Ninguno"/>
          <w:bCs/>
        </w:rPr>
        <w:t>2</w:t>
      </w:r>
      <w:r w:rsidR="006E511D" w:rsidRPr="00AE1AD1">
        <w:rPr>
          <w:rStyle w:val="Ninguno"/>
          <w:bCs/>
        </w:rPr>
        <w:t>8</w:t>
      </w:r>
      <w:r w:rsidR="00ED205D">
        <w:rPr>
          <w:rStyle w:val="Ninguno"/>
          <w:bCs/>
        </w:rPr>
        <w:t>,3</w:t>
      </w:r>
      <w:r w:rsidRPr="00AE1AD1">
        <w:rPr>
          <w:rStyle w:val="Ninguno"/>
          <w:bCs/>
        </w:rPr>
        <w:t xml:space="preserve"> millones para alcanzar el que </w:t>
      </w:r>
      <w:r w:rsidR="006E511D" w:rsidRPr="00AE1AD1">
        <w:rPr>
          <w:rStyle w:val="Ninguno"/>
          <w:bCs/>
        </w:rPr>
        <w:t>había en 2009 – un (20</w:t>
      </w:r>
      <w:r w:rsidR="00AB23A8">
        <w:rPr>
          <w:rStyle w:val="Ninguno"/>
          <w:bCs/>
        </w:rPr>
        <w:t>,2</w:t>
      </w:r>
      <w:r w:rsidRPr="00AE1AD1">
        <w:rPr>
          <w:rStyle w:val="Ninguno"/>
          <w:bCs/>
        </w:rPr>
        <w:t xml:space="preserve">%) </w:t>
      </w:r>
      <w:r w:rsidR="006E511D" w:rsidRPr="00AE1AD1">
        <w:rPr>
          <w:rStyle w:val="Ninguno"/>
          <w:bCs/>
        </w:rPr>
        <w:t>más</w:t>
      </w:r>
      <w:r w:rsidRPr="00AE1AD1">
        <w:rPr>
          <w:rStyle w:val="Ninguno"/>
          <w:bCs/>
        </w:rPr>
        <w:t xml:space="preserve"> - y si el aumento anual de los pró</w:t>
      </w:r>
      <w:r w:rsidRPr="00AE1AD1">
        <w:rPr>
          <w:rStyle w:val="Ninguno"/>
          <w:bCs/>
          <w:lang w:val="pt-PT"/>
        </w:rPr>
        <w:t>ximos a</w:t>
      </w:r>
      <w:r w:rsidRPr="00AE1AD1">
        <w:rPr>
          <w:rStyle w:val="Ninguno"/>
          <w:bCs/>
        </w:rPr>
        <w:t>ños es el mismo que en 2017, el mercado de 2009 se recuperara en el año 2023, dentro de siete añ</w:t>
      </w:r>
      <w:r w:rsidRPr="00AE1AD1">
        <w:rPr>
          <w:rStyle w:val="Ninguno"/>
          <w:bCs/>
          <w:lang w:val="pt-PT"/>
        </w:rPr>
        <w:t>os.</w:t>
      </w:r>
    </w:p>
    <w:p w:rsidR="007F59ED" w:rsidRPr="00AE1AD1" w:rsidRDefault="007F59ED">
      <w:pPr>
        <w:pStyle w:val="Cuerpo"/>
        <w:jc w:val="both"/>
        <w:rPr>
          <w:rStyle w:val="Ninguno"/>
          <w:bCs/>
        </w:rPr>
      </w:pPr>
    </w:p>
    <w:p w:rsidR="00AB23A8" w:rsidRPr="002128B7" w:rsidRDefault="00AB23A8">
      <w:pPr>
        <w:pStyle w:val="Cuerpo"/>
        <w:jc w:val="both"/>
        <w:rPr>
          <w:rStyle w:val="Ninguno"/>
          <w:b/>
          <w:bCs/>
        </w:rPr>
      </w:pPr>
      <w:r>
        <w:rPr>
          <w:rStyle w:val="Ninguno"/>
          <w:bCs/>
        </w:rPr>
        <w:t xml:space="preserve">En este Observatorio se hace una </w:t>
      </w:r>
      <w:r w:rsidRPr="002128B7">
        <w:rPr>
          <w:rStyle w:val="Ninguno"/>
          <w:b/>
          <w:bCs/>
        </w:rPr>
        <w:t>revisión del estado de la financiación</w:t>
      </w:r>
      <w:r>
        <w:rPr>
          <w:rStyle w:val="Ninguno"/>
          <w:bCs/>
        </w:rPr>
        <w:t xml:space="preserve"> para el pago de medicamentos en las distintas Comunidades Autónomas, haciendo hincapié en aquellas Comunidades que no han resuelto el pago puntual de la factura farmacéuticas ni con la ayuda de mecanismos como el FLA o el Plan de Pago a Proveedores (PPA) que puso en marca el Gobierno hace más de dos años, por lo que </w:t>
      </w:r>
      <w:r w:rsidRPr="002128B7">
        <w:rPr>
          <w:rStyle w:val="Ninguno"/>
          <w:b/>
          <w:bCs/>
        </w:rPr>
        <w:t xml:space="preserve">en determinadas zonas el pago puntual solo se consigue con financiación externa </w:t>
      </w:r>
      <w:r w:rsidR="002128B7" w:rsidRPr="002128B7">
        <w:rPr>
          <w:rStyle w:val="Ninguno"/>
          <w:b/>
          <w:bCs/>
        </w:rPr>
        <w:t>organizada</w:t>
      </w:r>
      <w:r w:rsidRPr="002128B7">
        <w:rPr>
          <w:rStyle w:val="Ninguno"/>
          <w:b/>
          <w:bCs/>
        </w:rPr>
        <w:t xml:space="preserve"> por los Colegios o los propios farmacéuticos de forma individual.</w:t>
      </w:r>
    </w:p>
    <w:p w:rsidR="00B452AD" w:rsidRPr="00AE1AD1" w:rsidRDefault="00AB23A8">
      <w:pPr>
        <w:pStyle w:val="Cuerpo"/>
        <w:jc w:val="both"/>
        <w:rPr>
          <w:rStyle w:val="Ninguno"/>
          <w:bCs/>
        </w:rPr>
      </w:pPr>
      <w:r>
        <w:rPr>
          <w:rStyle w:val="Ninguno"/>
          <w:bCs/>
        </w:rPr>
        <w:t xml:space="preserve"> </w:t>
      </w:r>
    </w:p>
    <w:p w:rsidR="00302285" w:rsidRPr="00AE1AD1" w:rsidRDefault="00B452AD">
      <w:pPr>
        <w:pStyle w:val="Cuerpo"/>
        <w:jc w:val="both"/>
        <w:rPr>
          <w:rStyle w:val="Ninguno"/>
          <w:bCs/>
        </w:rPr>
      </w:pPr>
      <w:r w:rsidRPr="00AE1AD1">
        <w:rPr>
          <w:rStyle w:val="Ninguno"/>
          <w:bCs/>
        </w:rPr>
        <w:t>También se analiza</w:t>
      </w:r>
      <w:r w:rsidR="00AB23A8">
        <w:rPr>
          <w:rStyle w:val="Ninguno"/>
          <w:bCs/>
        </w:rPr>
        <w:t xml:space="preserve"> </w:t>
      </w:r>
      <w:r w:rsidR="009B6340">
        <w:rPr>
          <w:rStyle w:val="Ninguno"/>
          <w:bCs/>
        </w:rPr>
        <w:t xml:space="preserve">en este Observatorio </w:t>
      </w:r>
      <w:r w:rsidR="00AB23A8">
        <w:rPr>
          <w:rStyle w:val="Ninguno"/>
          <w:bCs/>
        </w:rPr>
        <w:t xml:space="preserve">el </w:t>
      </w:r>
      <w:r w:rsidR="00AB23A8" w:rsidRPr="002128B7">
        <w:rPr>
          <w:rStyle w:val="Ninguno"/>
          <w:b/>
          <w:bCs/>
        </w:rPr>
        <w:t>proyecto de la Comunidad de Galicia para la apertura de 41 nuevas farmacias</w:t>
      </w:r>
      <w:r w:rsidR="00AB23A8">
        <w:rPr>
          <w:rStyle w:val="Ninguno"/>
          <w:bCs/>
        </w:rPr>
        <w:t>, una medida que tendrá importantes consecuencias en la viabilidad de muchas farmacias establecidas, aumento de las farmacias subvencionadas y mayor coste para la Administración, si se tiene en cuenta qu</w:t>
      </w:r>
      <w:r w:rsidR="00720FA5">
        <w:rPr>
          <w:rStyle w:val="Ninguno"/>
          <w:bCs/>
        </w:rPr>
        <w:t>e en Galicia ya se aplica el índice corrector del margen a 15 farmacias</w:t>
      </w:r>
      <w:r w:rsidR="002128B7">
        <w:rPr>
          <w:rStyle w:val="Ninguno"/>
          <w:bCs/>
        </w:rPr>
        <w:t xml:space="preserve"> y que la Comunidad Gallega es la cuarta comunidad con mayores pérdidas de facturación entre 2010 y 2015</w:t>
      </w:r>
      <w:r w:rsidR="00AE1AD1" w:rsidRPr="00AE1AD1">
        <w:rPr>
          <w:rStyle w:val="Ninguno"/>
          <w:bCs/>
        </w:rPr>
        <w:t>.</w:t>
      </w:r>
    </w:p>
    <w:p w:rsidR="007F59ED" w:rsidRPr="00AE1AD1" w:rsidRDefault="007F59ED">
      <w:pPr>
        <w:pStyle w:val="Cuerpo"/>
        <w:jc w:val="both"/>
        <w:rPr>
          <w:rStyle w:val="Ninguno"/>
          <w:bCs/>
        </w:rPr>
      </w:pPr>
    </w:p>
    <w:p w:rsidR="007F59ED" w:rsidRPr="00AE1AD1" w:rsidRDefault="00063C1D">
      <w:pPr>
        <w:pStyle w:val="Cuerpo"/>
        <w:jc w:val="both"/>
        <w:rPr>
          <w:rStyle w:val="Ninguno"/>
          <w:bCs/>
        </w:rPr>
      </w:pPr>
      <w:r w:rsidRPr="00AE1AD1">
        <w:rPr>
          <w:lang w:val="es-ES_tradnl"/>
        </w:rPr>
        <w:t xml:space="preserve">En cuanto a los </w:t>
      </w:r>
      <w:r w:rsidRPr="00AE1AD1">
        <w:rPr>
          <w:rStyle w:val="Ninguno"/>
          <w:bCs/>
        </w:rPr>
        <w:t>datos mensuales del gasto</w:t>
      </w:r>
      <w:r w:rsidRPr="00AE1AD1">
        <w:t xml:space="preserve"> </w:t>
      </w:r>
      <w:r w:rsidRPr="00AE1AD1">
        <w:rPr>
          <w:rStyle w:val="Ninguno"/>
          <w:bCs/>
        </w:rPr>
        <w:t xml:space="preserve">en </w:t>
      </w:r>
      <w:r w:rsidR="00D26323">
        <w:rPr>
          <w:rStyle w:val="Ninguno"/>
          <w:bCs/>
        </w:rPr>
        <w:t>Abril</w:t>
      </w:r>
      <w:r w:rsidRPr="00AE1AD1">
        <w:rPr>
          <w:rStyle w:val="Ninguno"/>
          <w:bCs/>
        </w:rPr>
        <w:t>,</w:t>
      </w:r>
      <w:r w:rsidRPr="00AE1AD1">
        <w:rPr>
          <w:lang w:val="es-ES_tradnl"/>
        </w:rPr>
        <w:t xml:space="preserve"> el n</w:t>
      </w:r>
      <w:r w:rsidRPr="00AE1AD1">
        <w:t>ú</w:t>
      </w:r>
      <w:r w:rsidRPr="00AE1AD1">
        <w:rPr>
          <w:lang w:val="es-ES_tradnl"/>
        </w:rPr>
        <w:t xml:space="preserve">mero de recetas alcanza una cifra de </w:t>
      </w:r>
      <w:r w:rsidR="00720FA5">
        <w:rPr>
          <w:lang w:val="es-ES_tradnl"/>
        </w:rPr>
        <w:t>72,6</w:t>
      </w:r>
      <w:r w:rsidRPr="00AE1AD1">
        <w:rPr>
          <w:lang w:val="es-ES_tradnl"/>
        </w:rPr>
        <w:t xml:space="preserve"> millones, lo que </w:t>
      </w:r>
      <w:r w:rsidRPr="00AE1AD1">
        <w:rPr>
          <w:rStyle w:val="Ninguno"/>
          <w:bCs/>
          <w:lang w:val="it-IT"/>
        </w:rPr>
        <w:t xml:space="preserve">representa un </w:t>
      </w:r>
      <w:r w:rsidR="00720FA5">
        <w:rPr>
          <w:rStyle w:val="Ninguno"/>
          <w:bCs/>
          <w:lang w:val="it-IT"/>
        </w:rPr>
        <w:t>descenso</w:t>
      </w:r>
      <w:r w:rsidRPr="00AE1AD1">
        <w:rPr>
          <w:rStyle w:val="Ninguno"/>
          <w:bCs/>
          <w:lang w:val="it-IT"/>
        </w:rPr>
        <w:t xml:space="preserve"> del </w:t>
      </w:r>
      <w:r w:rsidR="00720FA5">
        <w:rPr>
          <w:rStyle w:val="Ninguno"/>
          <w:bCs/>
          <w:lang w:val="it-IT"/>
        </w:rPr>
        <w:t>(-4,66</w:t>
      </w:r>
      <w:r w:rsidRPr="00AE1AD1">
        <w:rPr>
          <w:rStyle w:val="Ninguno"/>
          <w:bCs/>
          <w:lang w:val="it-IT"/>
        </w:rPr>
        <w:t>%</w:t>
      </w:r>
      <w:r w:rsidR="00720FA5">
        <w:rPr>
          <w:rStyle w:val="Ninguno"/>
          <w:bCs/>
          <w:lang w:val="it-IT"/>
        </w:rPr>
        <w:t>)</w:t>
      </w:r>
      <w:r w:rsidRPr="00AE1AD1">
        <w:rPr>
          <w:lang w:val="es-ES_tradnl"/>
        </w:rPr>
        <w:t xml:space="preserve"> con respecto al mismo mes del año anterior, que fue de 7</w:t>
      </w:r>
      <w:r w:rsidR="00720FA5">
        <w:rPr>
          <w:lang w:val="es-ES_tradnl"/>
        </w:rPr>
        <w:t>6,1</w:t>
      </w:r>
      <w:r w:rsidRPr="00AE1AD1">
        <w:rPr>
          <w:lang w:val="es-ES_tradnl"/>
        </w:rPr>
        <w:t xml:space="preserve"> millones. El </w:t>
      </w:r>
      <w:r w:rsidRPr="00AE1AD1">
        <w:rPr>
          <w:rStyle w:val="Ninguno"/>
          <w:bCs/>
        </w:rPr>
        <w:t xml:space="preserve">gasto </w:t>
      </w:r>
      <w:r w:rsidR="00720FA5">
        <w:rPr>
          <w:rStyle w:val="Ninguno"/>
          <w:bCs/>
        </w:rPr>
        <w:t>desciende</w:t>
      </w:r>
      <w:r w:rsidRPr="00AE1AD1">
        <w:rPr>
          <w:rStyle w:val="Ninguno"/>
          <w:bCs/>
        </w:rPr>
        <w:t xml:space="preserve"> un </w:t>
      </w:r>
      <w:r w:rsidR="00720FA5">
        <w:rPr>
          <w:rStyle w:val="Ninguno"/>
          <w:bCs/>
        </w:rPr>
        <w:t>(-2,94</w:t>
      </w:r>
      <w:r w:rsidRPr="00AE1AD1">
        <w:rPr>
          <w:rStyle w:val="Ninguno"/>
          <w:bCs/>
        </w:rPr>
        <w:t>%</w:t>
      </w:r>
      <w:r w:rsidR="00720FA5">
        <w:rPr>
          <w:rStyle w:val="Ninguno"/>
          <w:bCs/>
        </w:rPr>
        <w:t>)</w:t>
      </w:r>
      <w:r w:rsidRPr="00AE1AD1">
        <w:rPr>
          <w:rStyle w:val="Ninguno"/>
          <w:bCs/>
        </w:rPr>
        <w:t xml:space="preserve"> </w:t>
      </w:r>
      <w:r w:rsidRPr="00AE1AD1">
        <w:rPr>
          <w:lang w:val="es-ES_tradnl"/>
        </w:rPr>
        <w:t xml:space="preserve">y, el </w:t>
      </w:r>
      <w:r w:rsidRPr="00AE1AD1">
        <w:rPr>
          <w:rStyle w:val="Ninguno"/>
          <w:bCs/>
        </w:rPr>
        <w:t>gasto medi</w:t>
      </w:r>
      <w:r w:rsidR="00DF19E7" w:rsidRPr="00AE1AD1">
        <w:rPr>
          <w:rStyle w:val="Ninguno"/>
          <w:bCs/>
        </w:rPr>
        <w:t>o por receta aumenta un +</w:t>
      </w:r>
      <w:r w:rsidR="00720FA5">
        <w:rPr>
          <w:rStyle w:val="Ninguno"/>
          <w:bCs/>
        </w:rPr>
        <w:t>1,81</w:t>
      </w:r>
      <w:r w:rsidR="00DF19E7" w:rsidRPr="00AE1AD1">
        <w:rPr>
          <w:rStyle w:val="Ninguno"/>
          <w:bCs/>
        </w:rPr>
        <w:t xml:space="preserve"> %.</w:t>
      </w:r>
      <w:r w:rsidRPr="00AE1AD1">
        <w:rPr>
          <w:rStyle w:val="Ninguno"/>
          <w:bCs/>
        </w:rPr>
        <w:t xml:space="preserve"> </w:t>
      </w:r>
    </w:p>
    <w:p w:rsidR="007F59ED" w:rsidRPr="00AE1AD1" w:rsidRDefault="007F59ED">
      <w:pPr>
        <w:pStyle w:val="Cuerpo"/>
        <w:jc w:val="both"/>
        <w:rPr>
          <w:rStyle w:val="Ninguno"/>
          <w:bCs/>
        </w:rPr>
      </w:pPr>
    </w:p>
    <w:p w:rsidR="007F59ED" w:rsidRPr="002128B7" w:rsidRDefault="00063C1D">
      <w:pPr>
        <w:pStyle w:val="Cuerpo"/>
        <w:jc w:val="both"/>
        <w:rPr>
          <w:rStyle w:val="Ninguno"/>
          <w:b/>
          <w:bCs/>
        </w:rPr>
      </w:pPr>
      <w:r w:rsidRPr="00AE1AD1">
        <w:rPr>
          <w:rStyle w:val="Ninguno"/>
          <w:bCs/>
        </w:rPr>
        <w:t>En cuanto al acumulado de los dos primeros meses del año se producen aumentos en los tres indicadores tal como aparece en la siguiente tabla</w:t>
      </w:r>
      <w:r w:rsidR="00720FA5">
        <w:rPr>
          <w:rStyle w:val="Ninguno"/>
          <w:bCs/>
        </w:rPr>
        <w:t xml:space="preserve">, </w:t>
      </w:r>
      <w:r w:rsidR="00720FA5" w:rsidRPr="002128B7">
        <w:rPr>
          <w:rStyle w:val="Ninguno"/>
          <w:b/>
          <w:bCs/>
        </w:rPr>
        <w:t>sin embargo estos aumentos son muy limitados en el primer cuatrimestre del año, por lo que es previsible un aumento a fin de año igual o menor que el año anterior</w:t>
      </w:r>
      <w:r w:rsidRPr="002128B7">
        <w:rPr>
          <w:rStyle w:val="Ninguno"/>
          <w:b/>
          <w:bCs/>
        </w:rPr>
        <w:t>.</w:t>
      </w:r>
    </w:p>
    <w:p w:rsidR="007F59ED" w:rsidRPr="00AE1AD1" w:rsidRDefault="007F59ED">
      <w:pPr>
        <w:pStyle w:val="Cuerpo"/>
        <w:jc w:val="both"/>
        <w:rPr>
          <w:rStyle w:val="Ninguno"/>
          <w:bCs/>
        </w:rPr>
      </w:pPr>
    </w:p>
    <w:p w:rsidR="007F59ED" w:rsidRDefault="00063C1D">
      <w:pPr>
        <w:pStyle w:val="Cuerpo"/>
        <w:rPr>
          <w:rStyle w:val="Ninguno"/>
          <w:b/>
          <w:bCs/>
        </w:rPr>
      </w:pPr>
      <w:r>
        <w:rPr>
          <w:rStyle w:val="Ninguno"/>
          <w:rFonts w:eastAsia="Arial Unicode MS" w:cs="Arial Unicode MS"/>
          <w:b/>
          <w:bCs/>
          <w:lang w:val="de-DE"/>
        </w:rPr>
        <w:t>ACUMULADO ENERO-</w:t>
      </w:r>
      <w:r w:rsidR="00D26323">
        <w:rPr>
          <w:rStyle w:val="Ninguno"/>
          <w:rFonts w:eastAsia="Arial Unicode MS" w:cs="Arial Unicode MS"/>
          <w:b/>
          <w:bCs/>
          <w:lang w:val="de-DE"/>
        </w:rPr>
        <w:t>ABRIL</w:t>
      </w:r>
    </w:p>
    <w:p w:rsidR="007F59ED" w:rsidRDefault="007F59ED">
      <w:pPr>
        <w:pStyle w:val="Cuerpo"/>
      </w:pPr>
    </w:p>
    <w:tbl>
      <w:tblPr>
        <w:tblW w:w="88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3140"/>
        <w:gridCol w:w="1985"/>
        <w:gridCol w:w="1984"/>
        <w:gridCol w:w="1721"/>
      </w:tblGrid>
      <w:tr w:rsidR="00D26323" w:rsidRPr="009B6340" w:rsidTr="00C14BF8">
        <w:trPr>
          <w:trHeight w:val="287"/>
        </w:trPr>
        <w:tc>
          <w:tcPr>
            <w:tcW w:w="8830" w:type="dxa"/>
            <w:gridSpan w:val="4"/>
            <w:tcBorders>
              <w:top w:val="single" w:sz="6" w:space="0" w:color="000000"/>
              <w:left w:val="single" w:sz="6" w:space="0" w:color="000000"/>
              <w:bottom w:val="single" w:sz="6" w:space="0" w:color="000000"/>
              <w:right w:val="single" w:sz="6" w:space="0" w:color="000000"/>
            </w:tcBorders>
            <w:shd w:val="clear" w:color="auto" w:fill="008080"/>
            <w:tcMar>
              <w:top w:w="80" w:type="dxa"/>
              <w:left w:w="80" w:type="dxa"/>
              <w:bottom w:w="80" w:type="dxa"/>
              <w:right w:w="80" w:type="dxa"/>
            </w:tcMar>
          </w:tcPr>
          <w:p w:rsidR="00D26323" w:rsidRDefault="00D26323" w:rsidP="00C14BF8">
            <w:pPr>
              <w:pStyle w:val="Cuerpo"/>
              <w:jc w:val="center"/>
            </w:pPr>
            <w:r>
              <w:rPr>
                <w:rStyle w:val="Ninguno"/>
                <w:b/>
                <w:bCs/>
                <w:color w:val="FFFFFF"/>
                <w:u w:color="FFFFFF"/>
              </w:rPr>
              <w:t>Comparación de los cuatro primeros meses de los años 2016</w:t>
            </w:r>
            <w:r w:rsidRPr="00681DD9">
              <w:rPr>
                <w:rStyle w:val="Ninguno"/>
                <w:b/>
                <w:bCs/>
                <w:color w:val="FFFFFF"/>
                <w:u w:color="FFFFFF"/>
              </w:rPr>
              <w:t xml:space="preserve"> y 201</w:t>
            </w:r>
            <w:r>
              <w:rPr>
                <w:rStyle w:val="Ninguno"/>
                <w:b/>
                <w:bCs/>
                <w:color w:val="FFFFFF"/>
                <w:u w:color="FFFFFF"/>
              </w:rPr>
              <w:t>7</w:t>
            </w:r>
          </w:p>
        </w:tc>
      </w:tr>
      <w:tr w:rsidR="00D26323" w:rsidTr="00C14BF8">
        <w:trPr>
          <w:trHeight w:val="567"/>
        </w:trPr>
        <w:tc>
          <w:tcPr>
            <w:tcW w:w="3140" w:type="dxa"/>
            <w:tcBorders>
              <w:top w:val="single" w:sz="6" w:space="0" w:color="000000"/>
              <w:left w:val="single" w:sz="6" w:space="0" w:color="000000"/>
              <w:bottom w:val="single" w:sz="6" w:space="0" w:color="000000"/>
              <w:right w:val="single" w:sz="6" w:space="0" w:color="000000"/>
            </w:tcBorders>
            <w:shd w:val="clear" w:color="auto" w:fill="FF6600"/>
            <w:tcMar>
              <w:top w:w="80" w:type="dxa"/>
              <w:left w:w="80" w:type="dxa"/>
              <w:bottom w:w="80" w:type="dxa"/>
              <w:right w:w="80" w:type="dxa"/>
            </w:tcMar>
            <w:vAlign w:val="center"/>
          </w:tcPr>
          <w:p w:rsidR="00D26323" w:rsidRDefault="00D26323" w:rsidP="00C14BF8">
            <w:pPr>
              <w:pStyle w:val="Cuerpo"/>
            </w:pPr>
            <w:r w:rsidRPr="00681DD9">
              <w:rPr>
                <w:rStyle w:val="Ninguno"/>
                <w:b/>
                <w:bCs/>
                <w:color w:val="FFFFFF"/>
                <w:u w:color="FFFFFF"/>
              </w:rPr>
              <w:t>Indicador</w:t>
            </w:r>
          </w:p>
        </w:tc>
        <w:tc>
          <w:tcPr>
            <w:tcW w:w="1985" w:type="dxa"/>
            <w:tcBorders>
              <w:top w:val="single" w:sz="6" w:space="0" w:color="000000"/>
              <w:left w:val="single" w:sz="6" w:space="0" w:color="000000"/>
              <w:bottom w:val="single" w:sz="6" w:space="0" w:color="000000"/>
              <w:right w:val="single" w:sz="6" w:space="0" w:color="000000"/>
            </w:tcBorders>
            <w:shd w:val="clear" w:color="auto" w:fill="FF6600"/>
            <w:tcMar>
              <w:top w:w="80" w:type="dxa"/>
              <w:left w:w="80" w:type="dxa"/>
              <w:bottom w:w="80" w:type="dxa"/>
              <w:right w:w="80" w:type="dxa"/>
            </w:tcMar>
            <w:vAlign w:val="center"/>
          </w:tcPr>
          <w:p w:rsidR="00D26323" w:rsidRDefault="00D26323" w:rsidP="00C14BF8">
            <w:pPr>
              <w:pStyle w:val="Cuerpo"/>
              <w:jc w:val="center"/>
            </w:pPr>
            <w:r w:rsidRPr="00681DD9">
              <w:rPr>
                <w:rStyle w:val="Ninguno"/>
                <w:b/>
                <w:bCs/>
                <w:color w:val="FFFFFF"/>
                <w:u w:color="FFFFFF"/>
              </w:rPr>
              <w:t>2016</w:t>
            </w:r>
          </w:p>
        </w:tc>
        <w:tc>
          <w:tcPr>
            <w:tcW w:w="1984" w:type="dxa"/>
            <w:tcBorders>
              <w:top w:val="single" w:sz="6" w:space="0" w:color="000000"/>
              <w:left w:val="single" w:sz="6" w:space="0" w:color="000000"/>
              <w:bottom w:val="single" w:sz="6" w:space="0" w:color="000000"/>
              <w:right w:val="single" w:sz="6" w:space="0" w:color="000000"/>
            </w:tcBorders>
            <w:shd w:val="clear" w:color="auto" w:fill="FF6600"/>
            <w:tcMar>
              <w:top w:w="80" w:type="dxa"/>
              <w:left w:w="80" w:type="dxa"/>
              <w:bottom w:w="80" w:type="dxa"/>
              <w:right w:w="80" w:type="dxa"/>
            </w:tcMar>
            <w:vAlign w:val="center"/>
          </w:tcPr>
          <w:p w:rsidR="00D26323" w:rsidRDefault="00D26323" w:rsidP="00C14BF8">
            <w:pPr>
              <w:pStyle w:val="Cuerpo"/>
              <w:jc w:val="center"/>
            </w:pPr>
            <w:r w:rsidRPr="00681DD9">
              <w:rPr>
                <w:rStyle w:val="Ninguno"/>
                <w:b/>
                <w:bCs/>
                <w:color w:val="FFFFFF"/>
                <w:u w:color="FFFFFF"/>
              </w:rPr>
              <w:t>2017</w:t>
            </w:r>
          </w:p>
        </w:tc>
        <w:tc>
          <w:tcPr>
            <w:tcW w:w="1721" w:type="dxa"/>
            <w:tcBorders>
              <w:top w:val="single" w:sz="6" w:space="0" w:color="000000"/>
              <w:left w:val="single" w:sz="6" w:space="0" w:color="000000"/>
              <w:bottom w:val="single" w:sz="6" w:space="0" w:color="000000"/>
              <w:right w:val="single" w:sz="6" w:space="0" w:color="000000"/>
            </w:tcBorders>
            <w:shd w:val="clear" w:color="auto" w:fill="FF6600"/>
            <w:tcMar>
              <w:top w:w="80" w:type="dxa"/>
              <w:left w:w="80" w:type="dxa"/>
              <w:bottom w:w="80" w:type="dxa"/>
              <w:right w:w="80" w:type="dxa"/>
            </w:tcMar>
            <w:vAlign w:val="center"/>
          </w:tcPr>
          <w:p w:rsidR="00D26323" w:rsidRDefault="00D26323" w:rsidP="00C14BF8">
            <w:pPr>
              <w:pStyle w:val="Cuerpo"/>
              <w:jc w:val="center"/>
            </w:pPr>
            <w:r w:rsidRPr="00681DD9">
              <w:rPr>
                <w:rStyle w:val="Ninguno"/>
                <w:b/>
                <w:bCs/>
                <w:color w:val="FFFFFF"/>
                <w:u w:color="FFFFFF"/>
              </w:rPr>
              <w:t>% incremento</w:t>
            </w:r>
          </w:p>
        </w:tc>
      </w:tr>
      <w:tr w:rsidR="00D26323" w:rsidTr="00C14BF8">
        <w:trPr>
          <w:trHeight w:val="353"/>
        </w:trPr>
        <w:tc>
          <w:tcPr>
            <w:tcW w:w="3140" w:type="dxa"/>
            <w:tcBorders>
              <w:top w:val="single" w:sz="6" w:space="0" w:color="000000"/>
              <w:left w:val="single" w:sz="6" w:space="0" w:color="000000"/>
              <w:bottom w:val="single" w:sz="6" w:space="0" w:color="000000"/>
              <w:right w:val="single" w:sz="6" w:space="0" w:color="000000"/>
            </w:tcBorders>
            <w:shd w:val="clear" w:color="auto" w:fill="008080"/>
            <w:tcMar>
              <w:top w:w="80" w:type="dxa"/>
              <w:left w:w="80" w:type="dxa"/>
              <w:bottom w:w="80" w:type="dxa"/>
              <w:right w:w="80" w:type="dxa"/>
            </w:tcMar>
          </w:tcPr>
          <w:p w:rsidR="00D26323" w:rsidRDefault="00D26323" w:rsidP="00C14BF8">
            <w:pPr>
              <w:pStyle w:val="Cuerpo"/>
              <w:jc w:val="both"/>
            </w:pPr>
            <w:r w:rsidRPr="00681DD9">
              <w:rPr>
                <w:rStyle w:val="Ninguno"/>
                <w:b/>
                <w:bCs/>
                <w:color w:val="FFFFFF"/>
                <w:u w:color="FFFFFF"/>
              </w:rPr>
              <w:t>Número de recetas</w:t>
            </w:r>
          </w:p>
        </w:tc>
        <w:tc>
          <w:tcPr>
            <w:tcW w:w="1985"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rsidR="00D26323" w:rsidRPr="009007C5" w:rsidRDefault="00D26323" w:rsidP="00C14BF8">
            <w:pPr>
              <w:pStyle w:val="Cuerpo"/>
              <w:jc w:val="center"/>
            </w:pPr>
            <w:r w:rsidRPr="009007C5">
              <w:t>303.211.400</w:t>
            </w:r>
          </w:p>
        </w:tc>
        <w:tc>
          <w:tcPr>
            <w:tcW w:w="1984"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rsidR="00D26323" w:rsidRPr="009007C5" w:rsidRDefault="00D26323" w:rsidP="00C14BF8">
            <w:pPr>
              <w:pStyle w:val="Cuerpo"/>
              <w:jc w:val="center"/>
            </w:pPr>
            <w:r w:rsidRPr="009007C5">
              <w:t>303.966.606</w:t>
            </w:r>
          </w:p>
        </w:tc>
        <w:tc>
          <w:tcPr>
            <w:tcW w:w="1721" w:type="dxa"/>
            <w:tcBorders>
              <w:top w:val="single" w:sz="6" w:space="0" w:color="000000"/>
              <w:left w:val="single" w:sz="6" w:space="0" w:color="000000"/>
              <w:bottom w:val="single" w:sz="6" w:space="0" w:color="000000"/>
              <w:right w:val="single" w:sz="6" w:space="0" w:color="000000"/>
            </w:tcBorders>
            <w:shd w:val="clear" w:color="auto" w:fill="FFCCFF"/>
            <w:tcMar>
              <w:top w:w="80" w:type="dxa"/>
              <w:left w:w="80" w:type="dxa"/>
              <w:bottom w:w="80" w:type="dxa"/>
              <w:right w:w="80" w:type="dxa"/>
            </w:tcMar>
            <w:vAlign w:val="center"/>
          </w:tcPr>
          <w:p w:rsidR="00D26323" w:rsidRDefault="00D26323" w:rsidP="00C14BF8">
            <w:pPr>
              <w:pStyle w:val="Cuerpo"/>
              <w:jc w:val="center"/>
            </w:pPr>
            <w:r>
              <w:rPr>
                <w:rStyle w:val="Ninguno"/>
                <w:b/>
                <w:bCs/>
              </w:rPr>
              <w:t>0,25</w:t>
            </w:r>
          </w:p>
        </w:tc>
      </w:tr>
      <w:tr w:rsidR="00D26323" w:rsidTr="00C14BF8">
        <w:trPr>
          <w:trHeight w:val="287"/>
        </w:trPr>
        <w:tc>
          <w:tcPr>
            <w:tcW w:w="3140" w:type="dxa"/>
            <w:tcBorders>
              <w:top w:val="single" w:sz="6" w:space="0" w:color="000000"/>
              <w:left w:val="single" w:sz="6" w:space="0" w:color="000000"/>
              <w:bottom w:val="single" w:sz="6" w:space="0" w:color="000000"/>
              <w:right w:val="single" w:sz="6" w:space="0" w:color="000000"/>
            </w:tcBorders>
            <w:shd w:val="clear" w:color="auto" w:fill="008080"/>
            <w:tcMar>
              <w:top w:w="80" w:type="dxa"/>
              <w:left w:w="80" w:type="dxa"/>
              <w:bottom w:w="80" w:type="dxa"/>
              <w:right w:w="80" w:type="dxa"/>
            </w:tcMar>
          </w:tcPr>
          <w:p w:rsidR="00D26323" w:rsidRDefault="00D26323" w:rsidP="00C14BF8">
            <w:pPr>
              <w:pStyle w:val="Cuerpo"/>
              <w:jc w:val="both"/>
            </w:pPr>
            <w:r w:rsidRPr="00681DD9">
              <w:rPr>
                <w:rStyle w:val="Ninguno"/>
                <w:b/>
                <w:bCs/>
                <w:color w:val="FFFFFF"/>
                <w:u w:color="FFFFFF"/>
              </w:rPr>
              <w:t xml:space="preserve">Gasto </w:t>
            </w:r>
          </w:p>
        </w:tc>
        <w:tc>
          <w:tcPr>
            <w:tcW w:w="1985"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rsidR="00D26323" w:rsidRPr="009007C5" w:rsidRDefault="00D26323" w:rsidP="00C14BF8">
            <w:pPr>
              <w:pStyle w:val="Cuerpo"/>
              <w:jc w:val="center"/>
            </w:pPr>
            <w:r w:rsidRPr="009007C5">
              <w:t>3.279.666.569</w:t>
            </w:r>
          </w:p>
        </w:tc>
        <w:tc>
          <w:tcPr>
            <w:tcW w:w="1984"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rsidR="00D26323" w:rsidRPr="009007C5" w:rsidRDefault="00D26323" w:rsidP="00C14BF8">
            <w:pPr>
              <w:pStyle w:val="Cuerpo"/>
              <w:jc w:val="center"/>
            </w:pPr>
            <w:r w:rsidRPr="009007C5">
              <w:t>3.343.461.829</w:t>
            </w:r>
          </w:p>
        </w:tc>
        <w:tc>
          <w:tcPr>
            <w:tcW w:w="1721" w:type="dxa"/>
            <w:tcBorders>
              <w:top w:val="single" w:sz="6" w:space="0" w:color="000000"/>
              <w:left w:val="single" w:sz="6" w:space="0" w:color="000000"/>
              <w:bottom w:val="single" w:sz="6" w:space="0" w:color="000000"/>
              <w:right w:val="single" w:sz="6" w:space="0" w:color="000000"/>
            </w:tcBorders>
            <w:shd w:val="clear" w:color="auto" w:fill="FFCCFF"/>
            <w:tcMar>
              <w:top w:w="80" w:type="dxa"/>
              <w:left w:w="80" w:type="dxa"/>
              <w:bottom w:w="80" w:type="dxa"/>
              <w:right w:w="80" w:type="dxa"/>
            </w:tcMar>
            <w:vAlign w:val="center"/>
          </w:tcPr>
          <w:p w:rsidR="00D26323" w:rsidRDefault="00D26323" w:rsidP="00C14BF8">
            <w:pPr>
              <w:pStyle w:val="Cuerpo"/>
              <w:jc w:val="center"/>
            </w:pPr>
            <w:r>
              <w:rPr>
                <w:rStyle w:val="Ninguno"/>
                <w:b/>
                <w:bCs/>
              </w:rPr>
              <w:t>1,95</w:t>
            </w:r>
          </w:p>
        </w:tc>
      </w:tr>
      <w:tr w:rsidR="00D26323" w:rsidTr="00C14BF8">
        <w:trPr>
          <w:trHeight w:val="287"/>
        </w:trPr>
        <w:tc>
          <w:tcPr>
            <w:tcW w:w="3140" w:type="dxa"/>
            <w:tcBorders>
              <w:top w:val="single" w:sz="6" w:space="0" w:color="000000"/>
              <w:left w:val="single" w:sz="6" w:space="0" w:color="000000"/>
              <w:bottom w:val="single" w:sz="6" w:space="0" w:color="000000"/>
              <w:right w:val="single" w:sz="6" w:space="0" w:color="000000"/>
            </w:tcBorders>
            <w:shd w:val="clear" w:color="auto" w:fill="008080"/>
            <w:tcMar>
              <w:top w:w="80" w:type="dxa"/>
              <w:left w:w="80" w:type="dxa"/>
              <w:bottom w:w="80" w:type="dxa"/>
              <w:right w:w="80" w:type="dxa"/>
            </w:tcMar>
          </w:tcPr>
          <w:p w:rsidR="00D26323" w:rsidRDefault="00D26323" w:rsidP="00C14BF8">
            <w:pPr>
              <w:pStyle w:val="Cuerpo"/>
              <w:jc w:val="both"/>
            </w:pPr>
            <w:r w:rsidRPr="00681DD9">
              <w:rPr>
                <w:rStyle w:val="Ninguno"/>
                <w:b/>
                <w:bCs/>
                <w:color w:val="FFFFFF"/>
                <w:u w:color="FFFFFF"/>
              </w:rPr>
              <w:t>Gasto medio por receta</w:t>
            </w:r>
          </w:p>
        </w:tc>
        <w:tc>
          <w:tcPr>
            <w:tcW w:w="1985"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tcPr>
          <w:p w:rsidR="00D26323" w:rsidRDefault="00D26323" w:rsidP="00C14BF8">
            <w:pPr>
              <w:pStyle w:val="Cuerpo"/>
              <w:jc w:val="center"/>
            </w:pPr>
            <w:r>
              <w:rPr>
                <w:rStyle w:val="Ninguno"/>
              </w:rPr>
              <w:t>10,82</w:t>
            </w:r>
          </w:p>
        </w:tc>
        <w:tc>
          <w:tcPr>
            <w:tcW w:w="1984"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tcPr>
          <w:p w:rsidR="00D26323" w:rsidRDefault="00D26323" w:rsidP="00C14BF8">
            <w:pPr>
              <w:pStyle w:val="Cuerpo"/>
              <w:jc w:val="center"/>
            </w:pPr>
            <w:r>
              <w:rPr>
                <w:rStyle w:val="Ninguno"/>
              </w:rPr>
              <w:t>11,00</w:t>
            </w:r>
          </w:p>
        </w:tc>
        <w:tc>
          <w:tcPr>
            <w:tcW w:w="1721" w:type="dxa"/>
            <w:tcBorders>
              <w:top w:val="single" w:sz="6" w:space="0" w:color="000000"/>
              <w:left w:val="single" w:sz="6" w:space="0" w:color="000000"/>
              <w:bottom w:val="single" w:sz="6" w:space="0" w:color="000000"/>
              <w:right w:val="single" w:sz="6" w:space="0" w:color="000000"/>
            </w:tcBorders>
            <w:shd w:val="clear" w:color="auto" w:fill="FFCCFF"/>
            <w:tcMar>
              <w:top w:w="80" w:type="dxa"/>
              <w:left w:w="80" w:type="dxa"/>
              <w:bottom w:w="80" w:type="dxa"/>
              <w:right w:w="80" w:type="dxa"/>
            </w:tcMar>
          </w:tcPr>
          <w:p w:rsidR="00D26323" w:rsidRDefault="00D26323" w:rsidP="00C14BF8">
            <w:pPr>
              <w:pStyle w:val="Cuerpo"/>
              <w:jc w:val="center"/>
            </w:pPr>
            <w:r w:rsidRPr="00681DD9">
              <w:rPr>
                <w:rStyle w:val="Ninguno"/>
                <w:b/>
                <w:bCs/>
              </w:rPr>
              <w:t>1,</w:t>
            </w:r>
            <w:r>
              <w:rPr>
                <w:rStyle w:val="Ninguno"/>
                <w:b/>
                <w:bCs/>
              </w:rPr>
              <w:t>69</w:t>
            </w:r>
          </w:p>
        </w:tc>
      </w:tr>
    </w:tbl>
    <w:p w:rsidR="007F59ED" w:rsidRDefault="007F59ED">
      <w:pPr>
        <w:pStyle w:val="Cuerpo"/>
      </w:pPr>
    </w:p>
    <w:p w:rsidR="007F59ED" w:rsidRDefault="007F59ED">
      <w:pPr>
        <w:pStyle w:val="Cuerpo"/>
        <w:widowControl w:val="0"/>
      </w:pPr>
    </w:p>
    <w:p w:rsidR="007F59ED" w:rsidRDefault="007F59ED">
      <w:pPr>
        <w:pStyle w:val="Cuerpo"/>
      </w:pPr>
    </w:p>
    <w:p w:rsidR="007F59ED" w:rsidRDefault="00063C1D">
      <w:pPr>
        <w:pStyle w:val="Cuerpo"/>
        <w:jc w:val="both"/>
        <w:rPr>
          <w:rStyle w:val="Ninguno"/>
          <w:rFonts w:ascii="Arial Black" w:hAnsi="Arial Black"/>
          <w:color w:val="4BACC6"/>
          <w:u w:color="4BACC6"/>
          <w:lang w:val="pt-PT"/>
        </w:rPr>
      </w:pPr>
      <w:r>
        <w:rPr>
          <w:rStyle w:val="Ninguno"/>
          <w:rFonts w:ascii="Arial Black" w:hAnsi="Arial Black"/>
          <w:color w:val="4BACC6"/>
          <w:u w:color="4BACC6"/>
        </w:rPr>
        <w:t>Evolución de la Facturación de recetas en los ú</w:t>
      </w:r>
      <w:r>
        <w:rPr>
          <w:rStyle w:val="Ninguno"/>
          <w:rFonts w:ascii="Arial Black" w:hAnsi="Arial Black"/>
          <w:color w:val="4BACC6"/>
          <w:u w:color="4BACC6"/>
          <w:lang w:val="pt-PT"/>
        </w:rPr>
        <w:t>ltimos doce meses</w:t>
      </w:r>
    </w:p>
    <w:p w:rsidR="00063C1D" w:rsidRDefault="00063C1D">
      <w:pPr>
        <w:pStyle w:val="Cuerpo"/>
        <w:jc w:val="both"/>
        <w:rPr>
          <w:rStyle w:val="Ninguno"/>
          <w:rFonts w:ascii="Arial Black" w:eastAsia="Arial Black" w:hAnsi="Arial Black" w:cs="Arial Black"/>
          <w:color w:val="4BACC6"/>
          <w:u w:color="4BACC6"/>
        </w:rPr>
      </w:pPr>
    </w:p>
    <w:p w:rsidR="00DC0318" w:rsidRDefault="00D26323">
      <w:pPr>
        <w:pStyle w:val="Cuerpo"/>
        <w:jc w:val="both"/>
        <w:rPr>
          <w:rStyle w:val="Ninguno"/>
          <w:rFonts w:ascii="Arial Black" w:eastAsia="Arial Black" w:hAnsi="Arial Black" w:cs="Arial Black"/>
          <w:color w:val="4BACC6"/>
          <w:u w:color="4BACC6"/>
        </w:rPr>
      </w:pPr>
      <w:r>
        <w:rPr>
          <w:rFonts w:ascii="Arial Black" w:eastAsia="Arial Black" w:hAnsi="Arial Black" w:cs="Arial Black"/>
          <w:noProof/>
          <w:color w:val="4BACC6"/>
          <w:u w:color="4BACC6"/>
        </w:rPr>
        <w:drawing>
          <wp:inline distT="0" distB="0" distL="0" distR="0">
            <wp:extent cx="5638165" cy="4561840"/>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165" cy="4561840"/>
                    </a:xfrm>
                    <a:prstGeom prst="rect">
                      <a:avLst/>
                    </a:prstGeom>
                    <a:noFill/>
                  </pic:spPr>
                </pic:pic>
              </a:graphicData>
            </a:graphic>
          </wp:inline>
        </w:drawing>
      </w:r>
    </w:p>
    <w:p w:rsidR="007F59ED" w:rsidRDefault="007F59ED">
      <w:pPr>
        <w:pStyle w:val="Cuerpo"/>
        <w:jc w:val="both"/>
        <w:rPr>
          <w:rStyle w:val="Ninguno"/>
          <w:rFonts w:ascii="Arial Black" w:eastAsia="Arial Black" w:hAnsi="Arial Black" w:cs="Arial Black"/>
          <w:color w:val="4BACC6"/>
          <w:u w:color="4BACC6"/>
        </w:rPr>
      </w:pPr>
    </w:p>
    <w:p w:rsidR="00D26323" w:rsidRDefault="00D26323">
      <w:pPr>
        <w:pStyle w:val="Cuerpo"/>
        <w:rPr>
          <w:rStyle w:val="Ninguno"/>
          <w:rFonts w:ascii="Arial Black" w:hAnsi="Arial Black"/>
          <w:color w:val="008080"/>
          <w:u w:color="008080"/>
        </w:rPr>
      </w:pPr>
    </w:p>
    <w:p w:rsidR="002128B7" w:rsidRDefault="002128B7">
      <w:pPr>
        <w:pStyle w:val="Cuerpo"/>
        <w:rPr>
          <w:rStyle w:val="Ninguno"/>
          <w:rFonts w:ascii="Arial Black" w:hAnsi="Arial Black"/>
          <w:color w:val="008080"/>
          <w:u w:color="008080"/>
        </w:rPr>
      </w:pPr>
    </w:p>
    <w:p w:rsidR="007F59ED" w:rsidRDefault="00063C1D">
      <w:pPr>
        <w:pStyle w:val="Cuerpo"/>
        <w:rPr>
          <w:rStyle w:val="Ninguno"/>
          <w:rFonts w:ascii="Arial Black" w:eastAsia="Arial Black" w:hAnsi="Arial Black" w:cs="Arial Black"/>
          <w:color w:val="008080"/>
          <w:u w:color="008080"/>
        </w:rPr>
      </w:pPr>
      <w:r>
        <w:rPr>
          <w:rStyle w:val="Ninguno"/>
          <w:rFonts w:ascii="Arial Black" w:hAnsi="Arial Black"/>
          <w:color w:val="008080"/>
          <w:u w:color="008080"/>
        </w:rPr>
        <w:lastRenderedPageBreak/>
        <w:t>Tendencia logarí</w:t>
      </w:r>
      <w:r>
        <w:rPr>
          <w:rStyle w:val="Ninguno"/>
          <w:rFonts w:ascii="Arial Black" w:hAnsi="Arial Black"/>
          <w:color w:val="008080"/>
          <w:u w:color="008080"/>
          <w:lang w:val="it-IT"/>
        </w:rPr>
        <w:t>tmica</w:t>
      </w:r>
    </w:p>
    <w:p w:rsidR="007F59ED" w:rsidRDefault="007F59ED">
      <w:pPr>
        <w:pStyle w:val="Cuerpo"/>
        <w:jc w:val="both"/>
      </w:pPr>
    </w:p>
    <w:p w:rsidR="007F59ED" w:rsidRDefault="00063C1D">
      <w:pPr>
        <w:pStyle w:val="Cuerpo"/>
        <w:jc w:val="both"/>
        <w:rPr>
          <w:lang w:val="es-ES_tradnl"/>
        </w:rPr>
      </w:pPr>
      <w:r>
        <w:rPr>
          <w:rStyle w:val="Ninguno"/>
          <w:b/>
          <w:bCs/>
        </w:rPr>
        <w:t>En la</w:t>
      </w:r>
      <w:r>
        <w:t xml:space="preserve"> </w:t>
      </w:r>
      <w:r w:rsidR="00AE1AD1">
        <w:t>evolución del</w:t>
      </w:r>
      <w:r>
        <w:rPr>
          <w:rStyle w:val="Ninguno"/>
          <w:b/>
          <w:bCs/>
        </w:rPr>
        <w:t xml:space="preserve"> gasto se aprecia que se ha producido una variación de la tendencia, influida por los datos del mes de </w:t>
      </w:r>
      <w:r w:rsidR="00D26323">
        <w:rPr>
          <w:rStyle w:val="Ninguno"/>
          <w:b/>
          <w:bCs/>
        </w:rPr>
        <w:t>Abril</w:t>
      </w:r>
      <w:r>
        <w:rPr>
          <w:rStyle w:val="Ninguno"/>
          <w:b/>
          <w:bCs/>
        </w:rPr>
        <w:t>, aunque nuestra previsión</w:t>
      </w:r>
      <w:r w:rsidR="00AE1AD1">
        <w:rPr>
          <w:rStyle w:val="Ninguno"/>
          <w:b/>
          <w:bCs/>
        </w:rPr>
        <w:t xml:space="preserve"> es de estabilidad o ligero decrecimiento para </w:t>
      </w:r>
      <w:r w:rsidR="00D26323">
        <w:rPr>
          <w:rStyle w:val="Ninguno"/>
          <w:b/>
          <w:bCs/>
        </w:rPr>
        <w:t>mayo</w:t>
      </w:r>
      <w:r w:rsidR="00AE1AD1">
        <w:rPr>
          <w:rStyle w:val="Ninguno"/>
          <w:b/>
          <w:bCs/>
        </w:rPr>
        <w:t>.</w:t>
      </w:r>
      <w:r>
        <w:rPr>
          <w:lang w:val="es-ES_tradnl"/>
        </w:rPr>
        <w:t xml:space="preserve"> </w:t>
      </w:r>
    </w:p>
    <w:p w:rsidR="00DF19E7" w:rsidRDefault="00DF19E7">
      <w:pPr>
        <w:pStyle w:val="Cuerpo"/>
        <w:jc w:val="both"/>
        <w:rPr>
          <w:rStyle w:val="Ninguno"/>
          <w:b/>
          <w:bCs/>
        </w:rPr>
      </w:pPr>
    </w:p>
    <w:p w:rsidR="007F59ED" w:rsidRDefault="00063C1D">
      <w:pPr>
        <w:pStyle w:val="Cuerpo"/>
        <w:jc w:val="both"/>
      </w:pPr>
      <w:r>
        <w:rPr>
          <w:lang w:val="es-ES_tradnl"/>
        </w:rPr>
        <w:t xml:space="preserve">Las previsiones a corto plazo muestran que, aunque </w:t>
      </w:r>
      <w:r w:rsidR="00AE1AD1">
        <w:rPr>
          <w:lang w:val="es-ES_tradnl"/>
        </w:rPr>
        <w:t xml:space="preserve">aumenta </w:t>
      </w:r>
      <w:r>
        <w:rPr>
          <w:lang w:val="es-ES_tradnl"/>
        </w:rPr>
        <w:t>el gasto en el momento actual,</w:t>
      </w:r>
      <w:r w:rsidR="002128B7">
        <w:rPr>
          <w:lang w:val="es-ES_tradnl"/>
        </w:rPr>
        <w:t xml:space="preserve"> y</w:t>
      </w:r>
      <w:r w:rsidR="00AE1AD1">
        <w:rPr>
          <w:lang w:val="es-ES_tradnl"/>
        </w:rPr>
        <w:t xml:space="preserve"> puede haber decrecimientos algunos meses, </w:t>
      </w:r>
      <w:r>
        <w:rPr>
          <w:lang w:val="es-ES_tradnl"/>
        </w:rPr>
        <w:t>el acumulado y en el interanual</w:t>
      </w:r>
      <w:r w:rsidR="002128B7">
        <w:rPr>
          <w:lang w:val="es-ES_tradnl"/>
        </w:rPr>
        <w:t>,</w:t>
      </w:r>
      <w:r>
        <w:rPr>
          <w:lang w:val="es-ES_tradnl"/>
        </w:rPr>
        <w:t xml:space="preserve"> son positivos.</w:t>
      </w:r>
    </w:p>
    <w:p w:rsidR="007F59ED" w:rsidRDefault="007F59ED">
      <w:pPr>
        <w:pStyle w:val="Cuerpo"/>
        <w:jc w:val="both"/>
        <w:rPr>
          <w:rStyle w:val="Ninguno"/>
          <w:b/>
          <w:bCs/>
        </w:rPr>
      </w:pPr>
    </w:p>
    <w:p w:rsidR="007F59ED" w:rsidRDefault="00063C1D">
      <w:pPr>
        <w:pStyle w:val="Cuerpo"/>
        <w:jc w:val="both"/>
        <w:rPr>
          <w:rStyle w:val="Ninguno"/>
          <w:b/>
          <w:bCs/>
        </w:rPr>
      </w:pPr>
      <w:r>
        <w:rPr>
          <w:rStyle w:val="Ninguno"/>
          <w:b/>
          <w:bCs/>
        </w:rPr>
        <w:t xml:space="preserve">Objetivamente se puede afirmar que la Orden de Precios de Referencia </w:t>
      </w:r>
      <w:r w:rsidR="002128B7">
        <w:rPr>
          <w:rStyle w:val="Ninguno"/>
          <w:b/>
          <w:bCs/>
        </w:rPr>
        <w:t xml:space="preserve"> que se publicara en </w:t>
      </w:r>
      <w:r>
        <w:rPr>
          <w:rStyle w:val="Ninguno"/>
          <w:b/>
          <w:bCs/>
        </w:rPr>
        <w:t>2017</w:t>
      </w:r>
      <w:r w:rsidR="002128B7">
        <w:rPr>
          <w:rStyle w:val="Ninguno"/>
          <w:b/>
          <w:bCs/>
        </w:rPr>
        <w:t>, va a tener una baja incidencia en el gasto</w:t>
      </w:r>
      <w:r>
        <w:rPr>
          <w:rStyle w:val="Ninguno"/>
          <w:b/>
          <w:bCs/>
        </w:rPr>
        <w:t>. Sin embargo, otros factores de carácter estacional, juntamente con algunas medidas de carácter local relacionadas con la aportación de los beneficiarios, parecen estar influyendo en el consumo, particularmente en el nú</w:t>
      </w:r>
      <w:r>
        <w:rPr>
          <w:rStyle w:val="Ninguno"/>
          <w:b/>
          <w:bCs/>
          <w:lang w:val="pt-PT"/>
        </w:rPr>
        <w:t>mero de recetas.</w:t>
      </w:r>
    </w:p>
    <w:p w:rsidR="007F59ED" w:rsidRDefault="007F59ED">
      <w:pPr>
        <w:pStyle w:val="Cuerpo"/>
        <w:jc w:val="both"/>
      </w:pPr>
    </w:p>
    <w:p w:rsidR="00DF19E7" w:rsidRDefault="00DF19E7">
      <w:pPr>
        <w:pStyle w:val="Cuerpo"/>
        <w:jc w:val="both"/>
        <w:rPr>
          <w:rStyle w:val="Ninguno"/>
          <w:b/>
          <w:bCs/>
        </w:rPr>
      </w:pPr>
    </w:p>
    <w:p w:rsidR="007F59ED" w:rsidRDefault="00063C1D">
      <w:pPr>
        <w:pStyle w:val="Cuerpo"/>
        <w:jc w:val="both"/>
        <w:rPr>
          <w:rStyle w:val="Ninguno"/>
          <w:b/>
          <w:bCs/>
          <w:sz w:val="22"/>
          <w:szCs w:val="22"/>
        </w:rPr>
      </w:pPr>
      <w:r>
        <w:rPr>
          <w:rStyle w:val="Ninguno"/>
          <w:b/>
          <w:bCs/>
        </w:rPr>
        <w:t>TENDENCIA LOGARÍ</w:t>
      </w:r>
      <w:r>
        <w:rPr>
          <w:rStyle w:val="Ninguno"/>
          <w:b/>
          <w:bCs/>
          <w:lang w:val="pt-PT"/>
        </w:rPr>
        <w:t xml:space="preserve">TMICA </w:t>
      </w:r>
      <w:r>
        <w:rPr>
          <w:rStyle w:val="Ninguno"/>
          <w:b/>
          <w:bCs/>
          <w:sz w:val="22"/>
          <w:szCs w:val="22"/>
        </w:rPr>
        <w:t xml:space="preserve">(Proyección de 2 periodos hasta </w:t>
      </w:r>
      <w:r w:rsidR="006E050F">
        <w:rPr>
          <w:rStyle w:val="Ninguno"/>
          <w:b/>
          <w:bCs/>
          <w:sz w:val="22"/>
          <w:szCs w:val="22"/>
        </w:rPr>
        <w:t>juni</w:t>
      </w:r>
      <w:r w:rsidR="009476E7">
        <w:rPr>
          <w:rStyle w:val="Ninguno"/>
          <w:b/>
          <w:bCs/>
          <w:sz w:val="22"/>
          <w:szCs w:val="22"/>
        </w:rPr>
        <w:t>o</w:t>
      </w:r>
      <w:r>
        <w:rPr>
          <w:rStyle w:val="Ninguno"/>
          <w:b/>
          <w:bCs/>
          <w:sz w:val="22"/>
          <w:szCs w:val="22"/>
        </w:rPr>
        <w:t xml:space="preserve"> de 2017)</w:t>
      </w:r>
    </w:p>
    <w:p w:rsidR="007F59ED" w:rsidRDefault="007F59ED">
      <w:pPr>
        <w:pStyle w:val="Cuerpo"/>
        <w:jc w:val="both"/>
        <w:rPr>
          <w:rStyle w:val="Ninguno"/>
          <w:b/>
          <w:bCs/>
        </w:rPr>
      </w:pPr>
    </w:p>
    <w:p w:rsidR="007F59ED" w:rsidRDefault="007F59ED">
      <w:pPr>
        <w:pStyle w:val="Cuerpo"/>
        <w:rPr>
          <w:rStyle w:val="Ninguno"/>
          <w:rFonts w:ascii="Arial Black" w:eastAsia="Arial Black" w:hAnsi="Arial Black" w:cs="Arial Black"/>
          <w:color w:val="008080"/>
          <w:sz w:val="28"/>
          <w:szCs w:val="28"/>
          <w:u w:color="008080"/>
        </w:rPr>
      </w:pPr>
    </w:p>
    <w:p w:rsidR="000E799E" w:rsidRDefault="00D26323">
      <w:pPr>
        <w:pStyle w:val="Cuerpo"/>
        <w:rPr>
          <w:rStyle w:val="Ninguno"/>
          <w:rFonts w:ascii="Arial Black" w:hAnsi="Arial Black"/>
          <w:color w:val="008080"/>
          <w:sz w:val="28"/>
          <w:szCs w:val="28"/>
          <w:u w:color="008080"/>
          <w:lang w:val="pt-PT"/>
        </w:rPr>
      </w:pPr>
      <w:r>
        <w:rPr>
          <w:rFonts w:ascii="Arial Black" w:hAnsi="Arial Black"/>
          <w:noProof/>
          <w:color w:val="008080"/>
          <w:sz w:val="28"/>
          <w:szCs w:val="28"/>
          <w:u w:color="008080"/>
        </w:rPr>
        <w:drawing>
          <wp:inline distT="0" distB="0" distL="0" distR="0">
            <wp:extent cx="5638165" cy="433324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165" cy="4333240"/>
                    </a:xfrm>
                    <a:prstGeom prst="rect">
                      <a:avLst/>
                    </a:prstGeom>
                    <a:noFill/>
                  </pic:spPr>
                </pic:pic>
              </a:graphicData>
            </a:graphic>
          </wp:inline>
        </w:drawing>
      </w:r>
    </w:p>
    <w:p w:rsidR="00302285" w:rsidRDefault="00302285">
      <w:pPr>
        <w:pStyle w:val="Cuerpo"/>
        <w:rPr>
          <w:rStyle w:val="Ninguno"/>
          <w:rFonts w:ascii="Arial Black" w:hAnsi="Arial Black"/>
          <w:color w:val="008080"/>
          <w:sz w:val="28"/>
          <w:szCs w:val="28"/>
          <w:u w:color="008080"/>
          <w:lang w:val="pt-PT"/>
        </w:rPr>
      </w:pPr>
    </w:p>
    <w:p w:rsidR="007F59ED" w:rsidRDefault="00063C1D">
      <w:pPr>
        <w:pStyle w:val="Cuerpo"/>
        <w:rPr>
          <w:rStyle w:val="Ninguno"/>
          <w:rFonts w:ascii="Arial Black" w:eastAsia="Arial Black" w:hAnsi="Arial Black" w:cs="Arial Black"/>
          <w:color w:val="008080"/>
          <w:sz w:val="28"/>
          <w:szCs w:val="28"/>
          <w:u w:color="008080"/>
        </w:rPr>
      </w:pPr>
      <w:r>
        <w:rPr>
          <w:rStyle w:val="Ninguno"/>
          <w:rFonts w:ascii="Arial Black" w:hAnsi="Arial Black"/>
          <w:color w:val="008080"/>
          <w:sz w:val="28"/>
          <w:szCs w:val="28"/>
          <w:u w:color="008080"/>
          <w:lang w:val="pt-PT"/>
        </w:rPr>
        <w:lastRenderedPageBreak/>
        <w:t xml:space="preserve">Gasto por Comunidades </w:t>
      </w:r>
      <w:r>
        <w:rPr>
          <w:rStyle w:val="Ninguno"/>
          <w:rFonts w:ascii="Arial Black" w:hAnsi="Arial Black"/>
          <w:color w:val="31849B"/>
          <w:sz w:val="28"/>
          <w:szCs w:val="28"/>
          <w:u w:color="31849B"/>
        </w:rPr>
        <w:t>Autónomas</w:t>
      </w:r>
    </w:p>
    <w:p w:rsidR="007F59ED" w:rsidRDefault="007F59ED">
      <w:pPr>
        <w:pStyle w:val="Cuerpo"/>
      </w:pPr>
    </w:p>
    <w:p w:rsidR="007F59ED" w:rsidRDefault="00063C1D">
      <w:pPr>
        <w:pStyle w:val="Cuerpo"/>
        <w:jc w:val="both"/>
        <w:rPr>
          <w:rStyle w:val="Ninguno"/>
          <w:b/>
          <w:bCs/>
        </w:rPr>
      </w:pPr>
      <w:r>
        <w:rPr>
          <w:rStyle w:val="Ninguno"/>
          <w:b/>
          <w:bCs/>
        </w:rPr>
        <w:t xml:space="preserve">En </w:t>
      </w:r>
      <w:r w:rsidR="00D26323">
        <w:rPr>
          <w:rStyle w:val="Ninguno"/>
          <w:b/>
          <w:bCs/>
        </w:rPr>
        <w:t>Abril</w:t>
      </w:r>
      <w:r>
        <w:rPr>
          <w:rStyle w:val="Ninguno"/>
          <w:b/>
          <w:bCs/>
        </w:rPr>
        <w:t xml:space="preserve"> se producen  </w:t>
      </w:r>
      <w:r w:rsidR="002128B7">
        <w:rPr>
          <w:rStyle w:val="Ninguno"/>
          <w:b/>
          <w:bCs/>
        </w:rPr>
        <w:t>descensos</w:t>
      </w:r>
      <w:r>
        <w:rPr>
          <w:rStyle w:val="Ninguno"/>
          <w:b/>
          <w:bCs/>
        </w:rPr>
        <w:t xml:space="preserve"> generalizados en todas las Comunidades y Ciudades Autónomas</w:t>
      </w:r>
      <w:r w:rsidR="002128B7">
        <w:rPr>
          <w:rStyle w:val="Ninguno"/>
          <w:b/>
          <w:bCs/>
        </w:rPr>
        <w:t>, excepto en Asturias</w:t>
      </w:r>
      <w:r w:rsidR="006024AB">
        <w:rPr>
          <w:rStyle w:val="Ninguno"/>
          <w:b/>
          <w:bCs/>
        </w:rPr>
        <w:t xml:space="preserve"> +0,67</w:t>
      </w:r>
      <w:r w:rsidR="006E050F">
        <w:rPr>
          <w:rStyle w:val="Ninguno"/>
          <w:b/>
          <w:bCs/>
        </w:rPr>
        <w:t xml:space="preserve">, </w:t>
      </w:r>
      <w:r w:rsidR="002128B7">
        <w:rPr>
          <w:rStyle w:val="Ninguno"/>
          <w:b/>
          <w:bCs/>
        </w:rPr>
        <w:t xml:space="preserve">Baleares </w:t>
      </w:r>
      <w:r w:rsidR="006024AB">
        <w:rPr>
          <w:rStyle w:val="Ninguno"/>
          <w:b/>
          <w:bCs/>
        </w:rPr>
        <w:t>+0,23</w:t>
      </w:r>
      <w:r w:rsidR="006E050F">
        <w:rPr>
          <w:rStyle w:val="Ninguno"/>
          <w:b/>
          <w:bCs/>
        </w:rPr>
        <w:t xml:space="preserve"> y Castilla La Mancha +0,06</w:t>
      </w:r>
      <w:r w:rsidR="006024AB">
        <w:rPr>
          <w:rStyle w:val="Ninguno"/>
          <w:b/>
          <w:bCs/>
        </w:rPr>
        <w:t xml:space="preserve">, </w:t>
      </w:r>
      <w:r w:rsidR="002128B7">
        <w:rPr>
          <w:rStyle w:val="Ninguno"/>
          <w:b/>
          <w:bCs/>
        </w:rPr>
        <w:t>que crecen muy ligeramente</w:t>
      </w:r>
      <w:r w:rsidR="009476E7">
        <w:rPr>
          <w:rStyle w:val="Ninguno"/>
          <w:b/>
          <w:bCs/>
        </w:rPr>
        <w:t xml:space="preserve">. </w:t>
      </w:r>
    </w:p>
    <w:p w:rsidR="007F59ED" w:rsidRDefault="007F59ED">
      <w:pPr>
        <w:pStyle w:val="Cuerpo"/>
        <w:jc w:val="both"/>
        <w:rPr>
          <w:rStyle w:val="Ninguno"/>
          <w:b/>
          <w:bCs/>
        </w:rPr>
      </w:pPr>
    </w:p>
    <w:p w:rsidR="007F59ED" w:rsidRDefault="002128B7">
      <w:pPr>
        <w:pStyle w:val="Cuerpo"/>
        <w:jc w:val="both"/>
        <w:rPr>
          <w:rStyle w:val="Ninguno"/>
          <w:b/>
          <w:bCs/>
        </w:rPr>
      </w:pPr>
      <w:r>
        <w:rPr>
          <w:rStyle w:val="Ninguno"/>
          <w:b/>
          <w:bCs/>
        </w:rPr>
        <w:t>Los descensos</w:t>
      </w:r>
      <w:r w:rsidR="009476E7">
        <w:rPr>
          <w:rStyle w:val="Ninguno"/>
          <w:b/>
          <w:bCs/>
        </w:rPr>
        <w:t xml:space="preserve"> </w:t>
      </w:r>
      <w:r>
        <w:rPr>
          <w:rStyle w:val="Ninguno"/>
          <w:b/>
          <w:bCs/>
        </w:rPr>
        <w:t>más significativo</w:t>
      </w:r>
      <w:r w:rsidR="006024AB">
        <w:rPr>
          <w:rStyle w:val="Ninguno"/>
          <w:b/>
          <w:bCs/>
        </w:rPr>
        <w:t xml:space="preserve">s son los de La Rioja (-5,67%); Comunidad Valenciana (-5,48%); Navarra (-5,09%) y Murcia (-4,99). </w:t>
      </w:r>
    </w:p>
    <w:p w:rsidR="007F59ED" w:rsidRDefault="007F59ED">
      <w:pPr>
        <w:pStyle w:val="Cuerpo"/>
        <w:jc w:val="both"/>
        <w:rPr>
          <w:rStyle w:val="Ninguno"/>
          <w:b/>
          <w:bCs/>
        </w:rPr>
      </w:pPr>
    </w:p>
    <w:p w:rsidR="007F59ED" w:rsidRDefault="006024AB">
      <w:pPr>
        <w:pStyle w:val="Cuerpo"/>
        <w:jc w:val="both"/>
      </w:pPr>
      <w:r>
        <w:t>El resto de las Comunidades que descienden se mueven entre el -1,38% de Canarias y el -3,88 de Cataluña</w:t>
      </w:r>
      <w:r w:rsidR="009476E7">
        <w:t>.</w:t>
      </w:r>
    </w:p>
    <w:p w:rsidR="009476E7" w:rsidRDefault="009476E7">
      <w:pPr>
        <w:pStyle w:val="Cuerpo"/>
        <w:jc w:val="both"/>
      </w:pPr>
    </w:p>
    <w:p w:rsidR="007F59ED" w:rsidRDefault="00063C1D">
      <w:pPr>
        <w:pStyle w:val="Cuerpo"/>
        <w:jc w:val="both"/>
      </w:pPr>
      <w:r>
        <w:rPr>
          <w:lang w:val="es-ES_tradnl"/>
        </w:rPr>
        <w:t xml:space="preserve">En conjunto este mes de </w:t>
      </w:r>
      <w:r w:rsidR="00D26323">
        <w:rPr>
          <w:lang w:val="es-ES_tradnl"/>
        </w:rPr>
        <w:t>Abril</w:t>
      </w:r>
      <w:r>
        <w:rPr>
          <w:lang w:val="es-ES_tradnl"/>
        </w:rPr>
        <w:t xml:space="preserve"> muestra una imagen de </w:t>
      </w:r>
      <w:r w:rsidR="006024AB">
        <w:rPr>
          <w:lang w:val="es-ES_tradnl"/>
        </w:rPr>
        <w:t>descenso generalizado</w:t>
      </w:r>
      <w:r>
        <w:rPr>
          <w:lang w:val="es-ES_tradnl"/>
        </w:rPr>
        <w:t xml:space="preserve"> en las ventas, respecto al mismo mes del añ</w:t>
      </w:r>
      <w:r>
        <w:rPr>
          <w:lang w:val="pt-PT"/>
        </w:rPr>
        <w:t>o anterior.</w:t>
      </w:r>
    </w:p>
    <w:p w:rsidR="007F59ED" w:rsidRDefault="007F59ED">
      <w:pPr>
        <w:pStyle w:val="Cuerpo"/>
        <w:jc w:val="both"/>
      </w:pPr>
    </w:p>
    <w:p w:rsidR="007F59ED" w:rsidRDefault="007F59ED">
      <w:pPr>
        <w:pStyle w:val="Cuerpo"/>
        <w:jc w:val="both"/>
      </w:pPr>
    </w:p>
    <w:p w:rsidR="007F59ED" w:rsidRDefault="00D26323">
      <w:pPr>
        <w:pStyle w:val="Cuerpo"/>
        <w:jc w:val="both"/>
      </w:pPr>
      <w:r>
        <w:rPr>
          <w:noProof/>
        </w:rPr>
        <w:drawing>
          <wp:inline distT="0" distB="0" distL="0" distR="0">
            <wp:extent cx="5637475" cy="5216056"/>
            <wp:effectExtent l="0" t="0" r="1905"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165" cy="5216694"/>
                    </a:xfrm>
                    <a:prstGeom prst="rect">
                      <a:avLst/>
                    </a:prstGeom>
                    <a:noFill/>
                  </pic:spPr>
                </pic:pic>
              </a:graphicData>
            </a:graphic>
          </wp:inline>
        </w:drawing>
      </w:r>
    </w:p>
    <w:p w:rsidR="007F59ED" w:rsidRDefault="007F59ED">
      <w:pPr>
        <w:pStyle w:val="Cuerpo"/>
        <w:jc w:val="center"/>
      </w:pPr>
    </w:p>
    <w:p w:rsidR="007F59ED" w:rsidRDefault="00063C1D">
      <w:pPr>
        <w:pStyle w:val="Cuerpo"/>
        <w:jc w:val="both"/>
        <w:rPr>
          <w:rStyle w:val="Ninguno"/>
          <w:rFonts w:ascii="Arial Black" w:eastAsia="Arial Black" w:hAnsi="Arial Black" w:cs="Arial Black"/>
          <w:color w:val="008080"/>
          <w:sz w:val="26"/>
          <w:szCs w:val="26"/>
          <w:u w:color="008080"/>
        </w:rPr>
      </w:pPr>
      <w:r>
        <w:rPr>
          <w:rStyle w:val="Ninguno"/>
          <w:rFonts w:ascii="Arial Black" w:hAnsi="Arial Black"/>
          <w:color w:val="31849B"/>
          <w:sz w:val="26"/>
          <w:szCs w:val="26"/>
          <w:u w:color="31849B"/>
        </w:rPr>
        <w:lastRenderedPageBreak/>
        <w:t xml:space="preserve">Comparación </w:t>
      </w:r>
      <w:r>
        <w:rPr>
          <w:rStyle w:val="Ninguno"/>
          <w:rFonts w:ascii="Arial Black" w:hAnsi="Arial Black"/>
          <w:color w:val="008080"/>
          <w:sz w:val="26"/>
          <w:szCs w:val="26"/>
          <w:u w:color="008080"/>
        </w:rPr>
        <w:t>del gasto respecto al mes anterior por CC.AA.</w:t>
      </w:r>
    </w:p>
    <w:p w:rsidR="007F59ED" w:rsidRDefault="007F59ED">
      <w:pPr>
        <w:pStyle w:val="Cuerpo"/>
      </w:pPr>
    </w:p>
    <w:p w:rsidR="007F59ED" w:rsidRDefault="00063C1D">
      <w:pPr>
        <w:pStyle w:val="Cuerpo"/>
        <w:jc w:val="both"/>
        <w:rPr>
          <w:rStyle w:val="Ninguno"/>
          <w:b/>
          <w:bCs/>
        </w:rPr>
      </w:pPr>
      <w:r>
        <w:rPr>
          <w:lang w:val="es-ES_tradnl"/>
        </w:rPr>
        <w:t xml:space="preserve">Si hacemos la media de los dos </w:t>
      </w:r>
      <w:r>
        <w:t>ú</w:t>
      </w:r>
      <w:r>
        <w:rPr>
          <w:lang w:val="es-ES_tradnl"/>
        </w:rPr>
        <w:t xml:space="preserve">ltimos meses para evitar el </w:t>
      </w:r>
      <w:r>
        <w:t>“</w:t>
      </w:r>
      <w:r>
        <w:rPr>
          <w:lang w:val="es-ES_tradnl"/>
        </w:rPr>
        <w:t>efecto calendario</w:t>
      </w:r>
      <w:r>
        <w:t>”</w:t>
      </w:r>
      <w:r>
        <w:rPr>
          <w:lang w:val="es-ES_tradnl"/>
        </w:rPr>
        <w:t xml:space="preserve">, comparando en cada Comunidad Autónoma el incremento del gasto en los meses de </w:t>
      </w:r>
      <w:r w:rsidR="006E050F">
        <w:rPr>
          <w:lang w:val="es-ES_tradnl"/>
        </w:rPr>
        <w:t>M</w:t>
      </w:r>
      <w:r w:rsidR="006024AB">
        <w:rPr>
          <w:lang w:val="es-ES_tradnl"/>
        </w:rPr>
        <w:t>arzo</w:t>
      </w:r>
      <w:r>
        <w:rPr>
          <w:lang w:val="es-ES_tradnl"/>
        </w:rPr>
        <w:t xml:space="preserve"> y </w:t>
      </w:r>
      <w:r w:rsidR="00D26323">
        <w:rPr>
          <w:lang w:val="es-ES_tradnl"/>
        </w:rPr>
        <w:t>Abril</w:t>
      </w:r>
      <w:r>
        <w:rPr>
          <w:lang w:val="es-ES_tradnl"/>
        </w:rPr>
        <w:t xml:space="preserve">, respecto a los mismos meses del año anterior, se observa que se producen </w:t>
      </w:r>
      <w:r w:rsidR="006024AB">
        <w:rPr>
          <w:lang w:val="es-ES_tradnl"/>
        </w:rPr>
        <w:t>descensos</w:t>
      </w:r>
      <w:r>
        <w:rPr>
          <w:lang w:val="es-ES_tradnl"/>
        </w:rPr>
        <w:t xml:space="preserve"> en todas las Comunidades y Ciudades A</w:t>
      </w:r>
      <w:r w:rsidR="006024AB">
        <w:rPr>
          <w:lang w:val="es-ES_tradnl"/>
        </w:rPr>
        <w:t>utónomas</w:t>
      </w:r>
      <w:r w:rsidR="006024AB">
        <w:t>, excepto en Asturias y Baleares</w:t>
      </w:r>
      <w:r>
        <w:rPr>
          <w:rStyle w:val="Ninguno"/>
          <w:b/>
          <w:bCs/>
        </w:rPr>
        <w:t xml:space="preserve">. </w:t>
      </w:r>
    </w:p>
    <w:p w:rsidR="007F59ED" w:rsidRDefault="007F59ED">
      <w:pPr>
        <w:pStyle w:val="Cuerpo"/>
        <w:jc w:val="both"/>
        <w:rPr>
          <w:rStyle w:val="Ninguno"/>
          <w:b/>
          <w:bCs/>
        </w:rPr>
      </w:pPr>
    </w:p>
    <w:p w:rsidR="007F59ED" w:rsidRDefault="00063C1D">
      <w:pPr>
        <w:pStyle w:val="Cuerpo"/>
        <w:jc w:val="both"/>
        <w:rPr>
          <w:rStyle w:val="Ninguno"/>
          <w:b/>
          <w:bCs/>
        </w:rPr>
      </w:pPr>
      <w:r>
        <w:rPr>
          <w:rStyle w:val="Ninguno"/>
          <w:b/>
          <w:bCs/>
        </w:rPr>
        <w:t xml:space="preserve">Este resultado indica que se ha producido un </w:t>
      </w:r>
      <w:r w:rsidR="006024AB">
        <w:rPr>
          <w:rStyle w:val="Ninguno"/>
          <w:b/>
          <w:bCs/>
        </w:rPr>
        <w:t xml:space="preserve">retroceso </w:t>
      </w:r>
      <w:r>
        <w:rPr>
          <w:rStyle w:val="Ninguno"/>
          <w:b/>
          <w:bCs/>
        </w:rPr>
        <w:t>en la  recuperación del mercado respecto al año anterior</w:t>
      </w:r>
      <w:r w:rsidR="006E050F">
        <w:rPr>
          <w:rStyle w:val="Ninguno"/>
          <w:b/>
          <w:bCs/>
        </w:rPr>
        <w:t>,</w:t>
      </w:r>
      <w:r>
        <w:rPr>
          <w:rStyle w:val="Ninguno"/>
          <w:b/>
          <w:bCs/>
        </w:rPr>
        <w:t xml:space="preserve"> al que hay que atribuir un cará</w:t>
      </w:r>
      <w:r>
        <w:rPr>
          <w:rStyle w:val="Ninguno"/>
          <w:b/>
          <w:bCs/>
          <w:lang w:val="pt-PT"/>
        </w:rPr>
        <w:t>cter circunstancial</w:t>
      </w:r>
      <w:r w:rsidR="009476E7">
        <w:rPr>
          <w:rStyle w:val="Ninguno"/>
          <w:b/>
          <w:bCs/>
          <w:lang w:val="pt-PT"/>
        </w:rPr>
        <w:t>, muy ligado a las fechas de cierre de la facturación</w:t>
      </w:r>
      <w:r w:rsidR="00E43ED9">
        <w:rPr>
          <w:rStyle w:val="Ninguno"/>
          <w:b/>
          <w:bCs/>
          <w:lang w:val="pt-PT"/>
        </w:rPr>
        <w:t>,</w:t>
      </w:r>
      <w:r w:rsidR="009476E7">
        <w:rPr>
          <w:rStyle w:val="Ninguno"/>
          <w:b/>
          <w:bCs/>
          <w:lang w:val="pt-PT"/>
        </w:rPr>
        <w:t xml:space="preserve"> respecto al mismo mes del año anterior</w:t>
      </w:r>
      <w:r w:rsidR="006024AB">
        <w:rPr>
          <w:rStyle w:val="Ninguno"/>
          <w:b/>
          <w:bCs/>
          <w:lang w:val="pt-PT"/>
        </w:rPr>
        <w:t xml:space="preserve"> y a las fechas en las que se produjo la Semana Santa este año</w:t>
      </w:r>
      <w:r>
        <w:rPr>
          <w:rStyle w:val="Ninguno"/>
          <w:b/>
          <w:bCs/>
          <w:lang w:val="pt-PT"/>
        </w:rPr>
        <w:t>.</w:t>
      </w:r>
    </w:p>
    <w:p w:rsidR="007F59ED" w:rsidRDefault="007F59ED">
      <w:pPr>
        <w:pStyle w:val="Cuerpo"/>
        <w:jc w:val="both"/>
        <w:rPr>
          <w:rStyle w:val="Ninguno"/>
          <w:rFonts w:ascii="Arial Black" w:eastAsia="Arial Black" w:hAnsi="Arial Black" w:cs="Arial Black"/>
          <w:color w:val="008080"/>
          <w:sz w:val="28"/>
          <w:szCs w:val="28"/>
          <w:u w:color="008080"/>
        </w:rPr>
      </w:pPr>
    </w:p>
    <w:p w:rsidR="00D26323" w:rsidRDefault="00D26323">
      <w:pPr>
        <w:pStyle w:val="Cuerpo"/>
        <w:jc w:val="both"/>
        <w:rPr>
          <w:rStyle w:val="Ninguno"/>
          <w:rFonts w:ascii="Arial Black" w:hAnsi="Arial Black"/>
          <w:color w:val="008080"/>
          <w:sz w:val="28"/>
          <w:szCs w:val="28"/>
          <w:u w:color="008080"/>
        </w:rPr>
      </w:pPr>
      <w:r>
        <w:rPr>
          <w:rFonts w:ascii="Arial Black" w:hAnsi="Arial Black"/>
          <w:noProof/>
          <w:color w:val="008080"/>
          <w:sz w:val="28"/>
          <w:szCs w:val="28"/>
          <w:u w:color="008080"/>
        </w:rPr>
        <w:drawing>
          <wp:inline distT="0" distB="0" distL="0" distR="0">
            <wp:extent cx="5637475" cy="5596612"/>
            <wp:effectExtent l="0" t="0" r="1905"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165" cy="5597297"/>
                    </a:xfrm>
                    <a:prstGeom prst="rect">
                      <a:avLst/>
                    </a:prstGeom>
                    <a:noFill/>
                  </pic:spPr>
                </pic:pic>
              </a:graphicData>
            </a:graphic>
          </wp:inline>
        </w:drawing>
      </w:r>
    </w:p>
    <w:p w:rsidR="00D26323" w:rsidRDefault="00D26323">
      <w:pPr>
        <w:pStyle w:val="Cuerpo"/>
        <w:jc w:val="both"/>
        <w:rPr>
          <w:rStyle w:val="Ninguno"/>
          <w:rFonts w:ascii="Arial Black" w:hAnsi="Arial Black"/>
          <w:color w:val="008080"/>
          <w:sz w:val="28"/>
          <w:szCs w:val="28"/>
          <w:u w:color="008080"/>
        </w:rPr>
      </w:pPr>
    </w:p>
    <w:p w:rsidR="007F59ED" w:rsidRDefault="00063C1D">
      <w:pPr>
        <w:pStyle w:val="Cuerpo"/>
        <w:jc w:val="both"/>
        <w:rPr>
          <w:rStyle w:val="Ninguno"/>
          <w:rFonts w:ascii="Arial Black" w:eastAsia="Arial Black" w:hAnsi="Arial Black" w:cs="Arial Black"/>
          <w:color w:val="008080"/>
          <w:sz w:val="28"/>
          <w:szCs w:val="28"/>
          <w:u w:color="008080"/>
        </w:rPr>
      </w:pPr>
      <w:r>
        <w:rPr>
          <w:rStyle w:val="Ninguno"/>
          <w:rFonts w:ascii="Arial Black" w:hAnsi="Arial Black"/>
          <w:color w:val="008080"/>
          <w:sz w:val="28"/>
          <w:szCs w:val="28"/>
          <w:u w:color="008080"/>
        </w:rPr>
        <w:lastRenderedPageBreak/>
        <w:t xml:space="preserve">Análisis de la demanda de medicamentos </w:t>
      </w:r>
    </w:p>
    <w:p w:rsidR="007F59ED" w:rsidRDefault="007F59ED">
      <w:pPr>
        <w:pStyle w:val="Cuerpo"/>
        <w:jc w:val="both"/>
        <w:rPr>
          <w:rStyle w:val="Ninguno"/>
          <w:color w:val="008080"/>
          <w:sz w:val="22"/>
          <w:szCs w:val="22"/>
          <w:u w:color="008080"/>
        </w:rPr>
      </w:pPr>
    </w:p>
    <w:p w:rsidR="007F59ED" w:rsidRDefault="00063C1D">
      <w:pPr>
        <w:pStyle w:val="Cuerpo"/>
        <w:jc w:val="both"/>
      </w:pPr>
      <w:r>
        <w:rPr>
          <w:lang w:val="es-ES_tradnl"/>
        </w:rPr>
        <w:t>Como en Observatorios anteriores, y desde que se puso en vigor el RDL 16/2012, venimos realizando un seguimiento de la demanda de medicamentos a trav</w:t>
      </w:r>
      <w:r>
        <w:rPr>
          <w:lang w:val="fr-FR"/>
        </w:rPr>
        <w:t>é</w:t>
      </w:r>
      <w:r>
        <w:rPr>
          <w:lang w:val="es-ES_tradnl"/>
        </w:rPr>
        <w:t xml:space="preserve">s de la evolución en el consumo de recetas, que es un dato que descendió durante los primeros meses del año 2013 pero que aumenta a final de ese año y ha continuado creciendo en los años 2014, 2015 y 2016. Ahora en 2017, </w:t>
      </w:r>
      <w:r>
        <w:rPr>
          <w:rStyle w:val="Ninguno"/>
          <w:b/>
          <w:bCs/>
        </w:rPr>
        <w:t xml:space="preserve">la Tendencia Anual Móvil (TAM) a </w:t>
      </w:r>
      <w:r w:rsidR="00D26323">
        <w:rPr>
          <w:rStyle w:val="Ninguno"/>
          <w:b/>
          <w:bCs/>
        </w:rPr>
        <w:t>abril</w:t>
      </w:r>
      <w:r>
        <w:rPr>
          <w:rStyle w:val="Ninguno"/>
          <w:b/>
          <w:bCs/>
        </w:rPr>
        <w:t xml:space="preserve"> indica que continúa el crecimiento de las recetas</w:t>
      </w:r>
      <w:r>
        <w:rPr>
          <w:lang w:val="es-ES_tradnl"/>
        </w:rPr>
        <w:t xml:space="preserve"> que aumentan respecto al año anterior en </w:t>
      </w:r>
      <w:r w:rsidR="000E73CE">
        <w:rPr>
          <w:lang w:val="es-ES_tradnl"/>
        </w:rPr>
        <w:t>15,6</w:t>
      </w:r>
      <w:r>
        <w:rPr>
          <w:lang w:val="es-ES_tradnl"/>
        </w:rPr>
        <w:t xml:space="preserve"> millones de recetas.</w:t>
      </w:r>
    </w:p>
    <w:p w:rsidR="007F59ED" w:rsidRDefault="007F59ED">
      <w:pPr>
        <w:pStyle w:val="Cuerpo"/>
        <w:jc w:val="both"/>
      </w:pPr>
    </w:p>
    <w:p w:rsidR="007F59ED" w:rsidRDefault="007F59ED">
      <w:pPr>
        <w:pStyle w:val="Cuerpo"/>
        <w:jc w:val="both"/>
      </w:pPr>
    </w:p>
    <w:p w:rsidR="007F59ED" w:rsidRDefault="002173B8">
      <w:pPr>
        <w:pStyle w:val="Cuerpo"/>
        <w:jc w:val="center"/>
        <w:rPr>
          <w:rStyle w:val="Ninguno"/>
          <w:sz w:val="20"/>
          <w:szCs w:val="20"/>
        </w:rPr>
      </w:pPr>
      <w:r>
        <w:rPr>
          <w:noProof/>
        </w:rPr>
        <w:drawing>
          <wp:inline distT="0" distB="0" distL="0" distR="0">
            <wp:extent cx="4600575" cy="318135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59ED" w:rsidRDefault="007F59ED">
      <w:pPr>
        <w:pStyle w:val="Cuerpo"/>
        <w:jc w:val="center"/>
        <w:rPr>
          <w:rStyle w:val="Ninguno"/>
          <w:sz w:val="20"/>
          <w:szCs w:val="20"/>
        </w:rPr>
      </w:pPr>
    </w:p>
    <w:p w:rsidR="007F59ED" w:rsidRDefault="007F59ED">
      <w:pPr>
        <w:pStyle w:val="Cuerpo"/>
        <w:jc w:val="both"/>
        <w:rPr>
          <w:rStyle w:val="Ninguno"/>
          <w:b/>
          <w:bCs/>
        </w:rPr>
      </w:pPr>
    </w:p>
    <w:p w:rsidR="007F59ED" w:rsidRDefault="00063C1D">
      <w:pPr>
        <w:pStyle w:val="Cuerpo"/>
        <w:jc w:val="both"/>
        <w:rPr>
          <w:rStyle w:val="Ninguno"/>
          <w:b/>
          <w:bCs/>
        </w:rPr>
      </w:pPr>
      <w:r>
        <w:rPr>
          <w:rStyle w:val="Ninguno"/>
          <w:b/>
          <w:bCs/>
        </w:rPr>
        <w:t xml:space="preserve">En el año 2011 –máximo consumo de recetas, se dispensaron 973,2 millones de recetas por lo que la caída absoluta en el número de recetas ha sido de  </w:t>
      </w:r>
      <w:r w:rsidR="000E73CE">
        <w:rPr>
          <w:rStyle w:val="Ninguno"/>
          <w:b/>
          <w:bCs/>
        </w:rPr>
        <w:t>70,9</w:t>
      </w:r>
      <w:r>
        <w:rPr>
          <w:rStyle w:val="Ninguno"/>
          <w:b/>
          <w:bCs/>
        </w:rPr>
        <w:t xml:space="preserve"> millones. Si continuara el crecimiento en la misma medida que este añ</w:t>
      </w:r>
      <w:r>
        <w:rPr>
          <w:rStyle w:val="Ninguno"/>
          <w:b/>
          <w:bCs/>
          <w:lang w:val="pt-PT"/>
        </w:rPr>
        <w:t>o se tardar</w:t>
      </w:r>
      <w:r>
        <w:rPr>
          <w:rStyle w:val="Ninguno"/>
          <w:b/>
          <w:bCs/>
        </w:rPr>
        <w:t>ían casi cuatro años en llegar a la misma cifra de recetas del año 2011. En esta variación a la baja en el número de recetas a partir del año 2011 ha influido sin duda la nueva aportación de los beneficiarios pensionistas pero tambi</w:t>
      </w:r>
      <w:r>
        <w:rPr>
          <w:rStyle w:val="Ninguno"/>
          <w:b/>
          <w:bCs/>
          <w:lang w:val="fr-FR"/>
        </w:rPr>
        <w:t>é</w:t>
      </w:r>
      <w:r>
        <w:rPr>
          <w:rStyle w:val="Ninguno"/>
          <w:b/>
          <w:bCs/>
        </w:rPr>
        <w:t>n, el importante descenso de población que ha experimentado España desde ese añ</w:t>
      </w:r>
      <w:r>
        <w:rPr>
          <w:rStyle w:val="Ninguno"/>
          <w:b/>
          <w:bCs/>
          <w:lang w:val="pt-PT"/>
        </w:rPr>
        <w:t>o, seg</w:t>
      </w:r>
      <w:r>
        <w:rPr>
          <w:rStyle w:val="Ninguno"/>
          <w:b/>
          <w:bCs/>
        </w:rPr>
        <w:t>ún datos del Instituto Nacional de Estadí</w:t>
      </w:r>
      <w:r>
        <w:rPr>
          <w:rStyle w:val="Ninguno"/>
          <w:b/>
          <w:bCs/>
          <w:lang w:val="it-IT"/>
        </w:rPr>
        <w:t>stica.</w:t>
      </w:r>
    </w:p>
    <w:p w:rsidR="007F59ED" w:rsidRDefault="007F59ED">
      <w:pPr>
        <w:pStyle w:val="Cuerpo"/>
        <w:jc w:val="both"/>
        <w:rPr>
          <w:rStyle w:val="Ninguno"/>
          <w:b/>
          <w:bCs/>
        </w:rPr>
      </w:pPr>
    </w:p>
    <w:p w:rsidR="007F59ED" w:rsidRDefault="00063C1D">
      <w:pPr>
        <w:pStyle w:val="Cuerpo"/>
        <w:jc w:val="both"/>
        <w:rPr>
          <w:rStyle w:val="Ninguno"/>
          <w:b/>
          <w:bCs/>
        </w:rPr>
      </w:pPr>
      <w:r>
        <w:rPr>
          <w:rStyle w:val="Ninguno"/>
          <w:b/>
          <w:bCs/>
        </w:rPr>
        <w:t xml:space="preserve">En algunas Comunidades como la valenciana comenzó en </w:t>
      </w:r>
      <w:r w:rsidR="00D26323">
        <w:rPr>
          <w:rStyle w:val="Ninguno"/>
          <w:b/>
          <w:bCs/>
        </w:rPr>
        <w:t>abril</w:t>
      </w:r>
      <w:r>
        <w:rPr>
          <w:rStyle w:val="Ninguno"/>
          <w:b/>
          <w:bCs/>
        </w:rPr>
        <w:t xml:space="preserve"> del año 2016 a subvencionarse la aportación a pensionistas y otros colectivos desfavorecidos con lo que se está produciendo un repunte en el consumo de recetas, sin embargo</w:t>
      </w:r>
      <w:r w:rsidR="00E5620B">
        <w:rPr>
          <w:rStyle w:val="Ninguno"/>
          <w:b/>
          <w:bCs/>
        </w:rPr>
        <w:t>, aunque</w:t>
      </w:r>
      <w:r>
        <w:rPr>
          <w:rStyle w:val="Ninguno"/>
          <w:b/>
          <w:bCs/>
        </w:rPr>
        <w:t xml:space="preserve"> la recuperación es más acusada en esa comunidad, se está produciendo en el resto con un patrón similar.</w:t>
      </w:r>
    </w:p>
    <w:p w:rsidR="00F617C4" w:rsidRDefault="00F617C4">
      <w:pPr>
        <w:pStyle w:val="Cuerpo"/>
        <w:rPr>
          <w:rStyle w:val="Ninguno"/>
          <w:rFonts w:ascii="Arial Black" w:hAnsi="Arial Black"/>
          <w:color w:val="008080"/>
          <w:u w:color="008080"/>
        </w:rPr>
      </w:pPr>
    </w:p>
    <w:p w:rsidR="004E3B09" w:rsidRPr="00F358F1" w:rsidRDefault="00F358F1" w:rsidP="00F358F1">
      <w:pPr>
        <w:pStyle w:val="Cuerpo"/>
        <w:jc w:val="both"/>
        <w:rPr>
          <w:rFonts w:ascii="Arial Black" w:hAnsi="Arial Black"/>
          <w:b/>
          <w:color w:val="31849B" w:themeColor="accent5" w:themeShade="BF"/>
          <w:u w:color="008080"/>
        </w:rPr>
      </w:pPr>
      <w:r w:rsidRPr="00F358F1">
        <w:rPr>
          <w:rFonts w:ascii="Arial Black" w:hAnsi="Arial Black"/>
          <w:b/>
          <w:color w:val="31849B" w:themeColor="accent5" w:themeShade="BF"/>
          <w:u w:color="008080"/>
        </w:rPr>
        <w:lastRenderedPageBreak/>
        <w:t>PAGO DEL CONSUMO DE MEDICAMENTOS POR LAS COMUNIDADES AUTÓNOMAS</w:t>
      </w:r>
    </w:p>
    <w:p w:rsidR="000E73CE" w:rsidRDefault="000E73CE">
      <w:pPr>
        <w:pStyle w:val="Cuerpo"/>
        <w:shd w:val="clear" w:color="auto" w:fill="FFFFFF"/>
        <w:jc w:val="both"/>
        <w:rPr>
          <w:rStyle w:val="Ninguno"/>
          <w:rFonts w:ascii="Arial Black" w:hAnsi="Arial Black"/>
          <w:color w:val="008080"/>
          <w:u w:color="377395"/>
          <w:lang w:val="es-ES"/>
        </w:rPr>
      </w:pPr>
    </w:p>
    <w:p w:rsidR="000E73CE" w:rsidRDefault="00F358F1">
      <w:pPr>
        <w:pStyle w:val="Cuerpo"/>
        <w:shd w:val="clear" w:color="auto" w:fill="FFFFFF"/>
        <w:jc w:val="both"/>
        <w:rPr>
          <w:rStyle w:val="Ninguno"/>
          <w:color w:val="auto"/>
          <w:u w:color="377395"/>
          <w:lang w:val="es-ES"/>
        </w:rPr>
      </w:pPr>
      <w:r>
        <w:rPr>
          <w:rStyle w:val="Ninguno"/>
          <w:color w:val="auto"/>
          <w:u w:color="377395"/>
          <w:lang w:val="es-ES"/>
        </w:rPr>
        <w:t>El pago de la factura de medicamentos por algunas Comunidades Autónomas está lejos de normalizarse en cumplimiento de los Conciertos firmados con las Corporaciones Farmacéuticas</w:t>
      </w:r>
      <w:r w:rsidR="000C4266">
        <w:rPr>
          <w:rStyle w:val="Ninguno"/>
          <w:color w:val="auto"/>
          <w:u w:color="377395"/>
          <w:lang w:val="es-ES"/>
        </w:rPr>
        <w:t xml:space="preserve"> (Consejos Autonómicos de Colegios),</w:t>
      </w:r>
      <w:r>
        <w:rPr>
          <w:rStyle w:val="Ninguno"/>
          <w:color w:val="auto"/>
          <w:u w:color="377395"/>
          <w:lang w:val="es-ES"/>
        </w:rPr>
        <w:t xml:space="preserve"> y se siguen produciendo problemas al final de cada ejercicio. Incluso hay Comunidades que continúan aplazando los pagos por encima de la Ley de Morosidad, lo que ha obligado a que las farmacias busquen medios de financiación alternativos</w:t>
      </w:r>
      <w:r w:rsidR="0041123E">
        <w:rPr>
          <w:rStyle w:val="Ninguno"/>
          <w:color w:val="auto"/>
          <w:u w:color="377395"/>
          <w:lang w:val="es-ES"/>
        </w:rPr>
        <w:t>,</w:t>
      </w:r>
      <w:r>
        <w:rPr>
          <w:rStyle w:val="Ninguno"/>
          <w:color w:val="auto"/>
          <w:u w:color="377395"/>
          <w:lang w:val="es-ES"/>
        </w:rPr>
        <w:t xml:space="preserve"> como ocurre actualmente en Cataluña, Comunidad Valenciana y Andalucía.</w:t>
      </w:r>
    </w:p>
    <w:p w:rsidR="00AD5D4E" w:rsidRDefault="00AD5D4E">
      <w:pPr>
        <w:pStyle w:val="Cuerpo"/>
        <w:shd w:val="clear" w:color="auto" w:fill="FFFFFF"/>
        <w:jc w:val="both"/>
        <w:rPr>
          <w:rStyle w:val="Ninguno"/>
          <w:color w:val="auto"/>
          <w:u w:color="377395"/>
          <w:lang w:val="es-ES"/>
        </w:rPr>
      </w:pPr>
    </w:p>
    <w:p w:rsidR="00AD5D4E" w:rsidRDefault="00AD5D4E">
      <w:pPr>
        <w:pStyle w:val="Cuerpo"/>
        <w:shd w:val="clear" w:color="auto" w:fill="FFFFFF"/>
        <w:jc w:val="both"/>
        <w:rPr>
          <w:rStyle w:val="Ninguno"/>
          <w:color w:val="auto"/>
          <w:u w:color="377395"/>
          <w:lang w:val="es-ES"/>
        </w:rPr>
      </w:pPr>
      <w:r>
        <w:rPr>
          <w:rStyle w:val="Ninguno"/>
          <w:color w:val="auto"/>
          <w:u w:color="377395"/>
          <w:lang w:val="es-ES"/>
        </w:rPr>
        <w:t xml:space="preserve">En otras Comunidades, en que los plazos de pago son puntuales, como ocurre en la Comunidad de Madrid, el Colegio mantiene una póliza bancaria de, </w:t>
      </w:r>
      <w:r w:rsidR="000C4266">
        <w:rPr>
          <w:rStyle w:val="Ninguno"/>
          <w:color w:val="auto"/>
          <w:u w:color="377395"/>
          <w:lang w:val="es-ES"/>
        </w:rPr>
        <w:t xml:space="preserve">al menos </w:t>
      </w:r>
      <w:r>
        <w:rPr>
          <w:rStyle w:val="Ninguno"/>
          <w:color w:val="auto"/>
          <w:u w:color="377395"/>
          <w:lang w:val="es-ES"/>
        </w:rPr>
        <w:t>una mensualidad, para prevenir los impagos que pueden producirse a final de ejercicio.</w:t>
      </w:r>
    </w:p>
    <w:p w:rsidR="00AD5D4E" w:rsidRDefault="00AD5D4E">
      <w:pPr>
        <w:pStyle w:val="Cuerpo"/>
        <w:shd w:val="clear" w:color="auto" w:fill="FFFFFF"/>
        <w:jc w:val="both"/>
        <w:rPr>
          <w:rStyle w:val="Ninguno"/>
          <w:color w:val="auto"/>
          <w:u w:color="377395"/>
          <w:lang w:val="es-ES"/>
        </w:rPr>
      </w:pPr>
    </w:p>
    <w:p w:rsidR="00AD5D4E" w:rsidRDefault="00AD5D4E">
      <w:pPr>
        <w:pStyle w:val="Cuerpo"/>
        <w:shd w:val="clear" w:color="auto" w:fill="FFFFFF"/>
        <w:jc w:val="both"/>
        <w:rPr>
          <w:rStyle w:val="Ninguno"/>
          <w:color w:val="auto"/>
          <w:u w:color="377395"/>
          <w:lang w:val="es-ES"/>
        </w:rPr>
      </w:pPr>
      <w:r>
        <w:rPr>
          <w:rStyle w:val="Ninguno"/>
          <w:color w:val="auto"/>
          <w:u w:color="377395"/>
          <w:lang w:val="es-ES"/>
        </w:rPr>
        <w:t xml:space="preserve">Por </w:t>
      </w:r>
      <w:r w:rsidR="0095331C">
        <w:rPr>
          <w:rStyle w:val="Ninguno"/>
          <w:color w:val="auto"/>
          <w:u w:color="377395"/>
          <w:lang w:val="es-ES"/>
        </w:rPr>
        <w:t xml:space="preserve">la </w:t>
      </w:r>
      <w:r>
        <w:rPr>
          <w:rStyle w:val="Ninguno"/>
          <w:color w:val="auto"/>
          <w:u w:color="377395"/>
          <w:lang w:val="es-ES"/>
        </w:rPr>
        <w:t>regla general establecida en los distintos Conciertos, los Colegios confeccionan la factura del mes anterior en los 10 primeros días del mes en curso y el pago se produce el día 20. En la Comunidad Valenciana este pago debería producirse el día 30 como máximo por lo acordado en su Concierto correspondiente. Es decir el plazo medio de pago de un medicamento dispensado oscila entre 45 y 55 días.</w:t>
      </w:r>
    </w:p>
    <w:p w:rsidR="00AD5D4E" w:rsidRDefault="00AD5D4E">
      <w:pPr>
        <w:pStyle w:val="Cuerpo"/>
        <w:shd w:val="clear" w:color="auto" w:fill="FFFFFF"/>
        <w:jc w:val="both"/>
        <w:rPr>
          <w:rStyle w:val="Ninguno"/>
          <w:color w:val="auto"/>
          <w:u w:color="377395"/>
          <w:lang w:val="es-ES"/>
        </w:rPr>
      </w:pPr>
    </w:p>
    <w:p w:rsidR="00AD5D4E" w:rsidRDefault="00AD5D4E">
      <w:pPr>
        <w:pStyle w:val="Cuerpo"/>
        <w:shd w:val="clear" w:color="auto" w:fill="FFFFFF"/>
        <w:jc w:val="both"/>
        <w:rPr>
          <w:rStyle w:val="Ninguno"/>
          <w:color w:val="auto"/>
          <w:u w:color="377395"/>
          <w:lang w:val="es-ES"/>
        </w:rPr>
      </w:pPr>
      <w:r>
        <w:rPr>
          <w:rStyle w:val="Ninguno"/>
          <w:color w:val="auto"/>
          <w:u w:color="377395"/>
          <w:lang w:val="es-ES"/>
        </w:rPr>
        <w:t>A comienzos de la X legislatura – año 2012 – se produjeron impagos generalizados que afectaron fuertemente a Castilla La Mancha, Baleares</w:t>
      </w:r>
      <w:r w:rsidR="0041123E">
        <w:rPr>
          <w:rStyle w:val="Ninguno"/>
          <w:color w:val="auto"/>
          <w:u w:color="377395"/>
          <w:lang w:val="es-ES"/>
        </w:rPr>
        <w:t>, Murcia</w:t>
      </w:r>
      <w:r>
        <w:rPr>
          <w:rStyle w:val="Ninguno"/>
          <w:color w:val="auto"/>
          <w:u w:color="377395"/>
          <w:lang w:val="es-ES"/>
        </w:rPr>
        <w:t xml:space="preserve"> y Aragón, además de a la Comunidad Valenciana y Cataluña. Los casos de Castilla La Mancha y Comunidad Valenciana fueron especialmente graves, ya que </w:t>
      </w:r>
      <w:r w:rsidR="0041123E">
        <w:rPr>
          <w:rStyle w:val="Ninguno"/>
          <w:color w:val="auto"/>
          <w:u w:color="377395"/>
          <w:lang w:val="es-ES"/>
        </w:rPr>
        <w:t>el plazo de pago llegó a alargarse hasta seis meses, lo que produjo una importante descapitalización de las farmacias y, en algunos casos, la entrada en Concurso de Acreedores, la venta o el cierre de las mismas.</w:t>
      </w:r>
    </w:p>
    <w:p w:rsidR="0041123E" w:rsidRDefault="0041123E">
      <w:pPr>
        <w:pStyle w:val="Cuerpo"/>
        <w:shd w:val="clear" w:color="auto" w:fill="FFFFFF"/>
        <w:jc w:val="both"/>
        <w:rPr>
          <w:rStyle w:val="Ninguno"/>
          <w:color w:val="auto"/>
          <w:u w:color="377395"/>
          <w:lang w:val="es-ES"/>
        </w:rPr>
      </w:pPr>
    </w:p>
    <w:p w:rsidR="0041123E" w:rsidRDefault="0041123E">
      <w:pPr>
        <w:pStyle w:val="Cuerpo"/>
        <w:shd w:val="clear" w:color="auto" w:fill="FFFFFF"/>
        <w:jc w:val="both"/>
        <w:rPr>
          <w:rStyle w:val="Ninguno"/>
          <w:color w:val="auto"/>
          <w:u w:color="377395"/>
          <w:lang w:val="es-ES"/>
        </w:rPr>
      </w:pPr>
      <w:r>
        <w:rPr>
          <w:rStyle w:val="Ninguno"/>
          <w:color w:val="auto"/>
          <w:u w:color="377395"/>
          <w:lang w:val="es-ES"/>
        </w:rPr>
        <w:t>En la Región de Murcia, ante la imposibilidad de emitir deuda la Comunidad Autónoma, los bancos prestaron dinero a la Comunidad con el aval individualizado de cada uno de los farmacéuticos. Esta situación está actualmente normalizada por la financiación ofrecida por el Ministerio de Hacienda.</w:t>
      </w:r>
    </w:p>
    <w:p w:rsidR="0041123E" w:rsidRDefault="0041123E">
      <w:pPr>
        <w:pStyle w:val="Cuerpo"/>
        <w:shd w:val="clear" w:color="auto" w:fill="FFFFFF"/>
        <w:jc w:val="both"/>
        <w:rPr>
          <w:rStyle w:val="Ninguno"/>
          <w:color w:val="auto"/>
          <w:u w:color="377395"/>
          <w:lang w:val="es-ES"/>
        </w:rPr>
      </w:pPr>
    </w:p>
    <w:p w:rsidR="0041123E" w:rsidRDefault="0041123E">
      <w:pPr>
        <w:pStyle w:val="Cuerpo"/>
        <w:shd w:val="clear" w:color="auto" w:fill="FFFFFF"/>
        <w:jc w:val="both"/>
        <w:rPr>
          <w:rStyle w:val="Ninguno"/>
          <w:color w:val="auto"/>
          <w:u w:color="377395"/>
          <w:lang w:val="es-ES"/>
        </w:rPr>
      </w:pPr>
      <w:r>
        <w:rPr>
          <w:rStyle w:val="Ninguno"/>
          <w:color w:val="auto"/>
          <w:u w:color="377395"/>
          <w:lang w:val="es-ES"/>
        </w:rPr>
        <w:t>Los impago</w:t>
      </w:r>
      <w:r w:rsidR="000C4266">
        <w:rPr>
          <w:rStyle w:val="Ninguno"/>
          <w:color w:val="auto"/>
          <w:u w:color="377395"/>
          <w:lang w:val="es-ES"/>
        </w:rPr>
        <w:t>s</w:t>
      </w:r>
      <w:r>
        <w:rPr>
          <w:rStyle w:val="Ninguno"/>
          <w:color w:val="auto"/>
          <w:u w:color="377395"/>
          <w:lang w:val="es-ES"/>
        </w:rPr>
        <w:t xml:space="preserve"> se han resuelto en parte con las medidas del Gobierno relativas al Plan de Pago a Proveedores y el FLA, excepto en Cataluña, Comunidad Valenciana y Andalucía, aunque en este último caso los farmacéuticos solo notan los gastos financieros y en el resto existe una financiación alternativa mediante factoring bancario.</w:t>
      </w:r>
      <w:r w:rsidR="000C4266">
        <w:rPr>
          <w:rStyle w:val="Ninguno"/>
          <w:color w:val="auto"/>
          <w:u w:color="377395"/>
          <w:lang w:val="es-ES"/>
        </w:rPr>
        <w:t xml:space="preserve"> En el caso de Cataluña el factoring resulta relativamente costoso y se firma con cada farmacia, aunque lo negocia la Corporación.</w:t>
      </w:r>
    </w:p>
    <w:p w:rsidR="0041123E" w:rsidRDefault="0041123E">
      <w:pPr>
        <w:pStyle w:val="Cuerpo"/>
        <w:shd w:val="clear" w:color="auto" w:fill="FFFFFF"/>
        <w:jc w:val="both"/>
        <w:rPr>
          <w:rStyle w:val="Ninguno"/>
          <w:color w:val="auto"/>
          <w:u w:color="377395"/>
          <w:lang w:val="es-ES"/>
        </w:rPr>
      </w:pPr>
    </w:p>
    <w:p w:rsidR="0041123E" w:rsidRDefault="0041123E">
      <w:pPr>
        <w:pStyle w:val="Cuerpo"/>
        <w:shd w:val="clear" w:color="auto" w:fill="FFFFFF"/>
        <w:jc w:val="both"/>
        <w:rPr>
          <w:rStyle w:val="Ninguno"/>
          <w:color w:val="auto"/>
          <w:u w:color="377395"/>
          <w:lang w:val="es-ES"/>
        </w:rPr>
      </w:pPr>
      <w:r>
        <w:rPr>
          <w:rStyle w:val="Ninguno"/>
          <w:color w:val="auto"/>
          <w:u w:color="377395"/>
          <w:lang w:val="es-ES"/>
        </w:rPr>
        <w:t xml:space="preserve">La comunidad Andaluza </w:t>
      </w:r>
      <w:r w:rsidR="0095331C">
        <w:rPr>
          <w:rStyle w:val="Ninguno"/>
          <w:color w:val="auto"/>
          <w:u w:color="377395"/>
          <w:lang w:val="es-ES"/>
        </w:rPr>
        <w:t>acordó con las Corporaciones Farmacéuticas que éstas consiguiesen créditos bancarios para financiar el retraso que se ha convertido en permanente de 2-3 meses para el pago de la factura farmacéutica.</w:t>
      </w:r>
    </w:p>
    <w:p w:rsidR="0095331C" w:rsidRDefault="0095331C">
      <w:pPr>
        <w:pStyle w:val="Cuerpo"/>
        <w:shd w:val="clear" w:color="auto" w:fill="FFFFFF"/>
        <w:jc w:val="both"/>
        <w:rPr>
          <w:rStyle w:val="Ninguno"/>
          <w:color w:val="auto"/>
          <w:u w:color="377395"/>
          <w:lang w:val="es-ES"/>
        </w:rPr>
      </w:pPr>
    </w:p>
    <w:p w:rsidR="0095331C" w:rsidRDefault="0095331C">
      <w:pPr>
        <w:pStyle w:val="Cuerpo"/>
        <w:shd w:val="clear" w:color="auto" w:fill="FFFFFF"/>
        <w:jc w:val="both"/>
        <w:rPr>
          <w:rStyle w:val="Ninguno"/>
          <w:color w:val="auto"/>
          <w:u w:color="377395"/>
          <w:lang w:val="es-ES"/>
        </w:rPr>
      </w:pPr>
      <w:r>
        <w:rPr>
          <w:rStyle w:val="Ninguno"/>
          <w:color w:val="auto"/>
          <w:u w:color="377395"/>
          <w:lang w:val="es-ES"/>
        </w:rPr>
        <w:lastRenderedPageBreak/>
        <w:t>La situación actual de cada Comunidad autónoma aparece en el cuadro siguiente.</w:t>
      </w:r>
    </w:p>
    <w:p w:rsidR="0041123E" w:rsidRDefault="0041123E">
      <w:pPr>
        <w:pStyle w:val="Cuerpo"/>
        <w:shd w:val="clear" w:color="auto" w:fill="FFFFFF"/>
        <w:jc w:val="both"/>
        <w:rPr>
          <w:rStyle w:val="Ninguno"/>
          <w:color w:val="auto"/>
          <w:u w:color="377395"/>
          <w:lang w:val="es-ES"/>
        </w:rPr>
      </w:pPr>
    </w:p>
    <w:tbl>
      <w:tblPr>
        <w:tblStyle w:val="Listamedia1-nfasis3"/>
        <w:tblW w:w="0" w:type="auto"/>
        <w:tblLook w:val="04A0"/>
      </w:tblPr>
      <w:tblGrid>
        <w:gridCol w:w="2376"/>
        <w:gridCol w:w="1418"/>
        <w:gridCol w:w="5184"/>
      </w:tblGrid>
      <w:tr w:rsidR="0095331C" w:rsidTr="006C18C5">
        <w:trPr>
          <w:cnfStyle w:val="100000000000"/>
        </w:trPr>
        <w:tc>
          <w:tcPr>
            <w:cnfStyle w:val="001000000000"/>
            <w:tcW w:w="2376" w:type="dxa"/>
            <w:shd w:val="clear" w:color="auto" w:fill="92D050"/>
          </w:tcPr>
          <w:p w:rsidR="0095331C" w:rsidRPr="006C18C5" w:rsidRDefault="0095331C" w:rsidP="006C18C5">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color w:val="auto"/>
                <w:sz w:val="22"/>
                <w:u w:color="377395"/>
                <w:lang w:val="es-ES"/>
              </w:rPr>
            </w:pPr>
            <w:r w:rsidRPr="006C18C5">
              <w:rPr>
                <w:rStyle w:val="Ninguno"/>
                <w:color w:val="auto"/>
                <w:sz w:val="22"/>
                <w:u w:color="377395"/>
                <w:lang w:val="es-ES"/>
              </w:rPr>
              <w:t>Comunidad Autónoma</w:t>
            </w:r>
          </w:p>
        </w:tc>
        <w:tc>
          <w:tcPr>
            <w:tcW w:w="1418" w:type="dxa"/>
            <w:shd w:val="clear" w:color="auto" w:fill="92D050"/>
          </w:tcPr>
          <w:p w:rsidR="0095331C" w:rsidRPr="006C18C5" w:rsidRDefault="0095331C" w:rsidP="006C18C5">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rPr>
                <w:rStyle w:val="Ninguno"/>
                <w:b/>
                <w:color w:val="auto"/>
                <w:u w:color="377395"/>
                <w:lang w:val="es-ES"/>
              </w:rPr>
            </w:pPr>
            <w:r w:rsidRPr="006C18C5">
              <w:rPr>
                <w:rStyle w:val="Ninguno"/>
                <w:b/>
                <w:color w:val="auto"/>
                <w:u w:color="377395"/>
                <w:lang w:val="es-ES"/>
              </w:rPr>
              <w:t>Factura media mensual</w:t>
            </w:r>
          </w:p>
        </w:tc>
        <w:tc>
          <w:tcPr>
            <w:tcW w:w="5184" w:type="dxa"/>
            <w:shd w:val="clear" w:color="auto" w:fill="92D050"/>
          </w:tcPr>
          <w:p w:rsidR="0095331C" w:rsidRPr="006C18C5" w:rsidRDefault="0095331C" w:rsidP="006C18C5">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rPr>
                <w:rStyle w:val="Ninguno"/>
                <w:b/>
                <w:color w:val="auto"/>
                <w:u w:color="377395"/>
                <w:lang w:val="es-ES"/>
              </w:rPr>
            </w:pPr>
            <w:r w:rsidRPr="006C18C5">
              <w:rPr>
                <w:rStyle w:val="Ninguno"/>
                <w:b/>
                <w:color w:val="auto"/>
                <w:u w:color="377395"/>
                <w:lang w:val="es-ES"/>
              </w:rPr>
              <w:t>Observaciones</w:t>
            </w:r>
          </w:p>
        </w:tc>
      </w:tr>
      <w:tr w:rsidR="0095331C" w:rsidRPr="009B6340" w:rsidTr="006C18C5">
        <w:trPr>
          <w:cnfStyle w:val="000000100000"/>
        </w:trPr>
        <w:tc>
          <w:tcPr>
            <w:cnfStyle w:val="001000000000"/>
            <w:tcW w:w="2376" w:type="dxa"/>
          </w:tcPr>
          <w:p w:rsidR="0095331C" w:rsidRPr="006C18C5" w:rsidRDefault="0095331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color w:val="auto"/>
                <w:sz w:val="22"/>
                <w:u w:color="377395"/>
                <w:lang w:val="es-ES"/>
              </w:rPr>
            </w:pPr>
            <w:r w:rsidRPr="006C18C5">
              <w:rPr>
                <w:rStyle w:val="Ninguno"/>
                <w:color w:val="auto"/>
                <w:sz w:val="22"/>
                <w:u w:color="377395"/>
                <w:lang w:val="es-ES"/>
              </w:rPr>
              <w:t>Andalucía</w:t>
            </w:r>
          </w:p>
        </w:tc>
        <w:tc>
          <w:tcPr>
            <w:tcW w:w="1418" w:type="dxa"/>
          </w:tcPr>
          <w:p w:rsidR="0095331C" w:rsidRDefault="00EE7F23" w:rsidP="008C6987">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rPr>
                <w:rStyle w:val="Ninguno"/>
                <w:color w:val="auto"/>
                <w:u w:color="377395"/>
                <w:lang w:val="es-ES"/>
              </w:rPr>
            </w:pPr>
            <w:r w:rsidRPr="00EE7F23">
              <w:rPr>
                <w:rFonts w:ascii="Calibri" w:eastAsia="Times New Roman" w:hAnsi="Calibri" w:cs="Calibri"/>
                <w:sz w:val="22"/>
                <w:szCs w:val="22"/>
                <w:bdr w:val="none" w:sz="0" w:space="0" w:color="auto"/>
              </w:rPr>
              <w:t xml:space="preserve">143.178.762   </w:t>
            </w:r>
          </w:p>
        </w:tc>
        <w:tc>
          <w:tcPr>
            <w:tcW w:w="5184" w:type="dxa"/>
          </w:tcPr>
          <w:p w:rsidR="0095331C" w:rsidRPr="006C18C5" w:rsidRDefault="008C6987" w:rsidP="006C18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rPr>
                <w:rStyle w:val="Ninguno"/>
                <w:color w:val="auto"/>
                <w:sz w:val="20"/>
                <w:u w:color="377395"/>
                <w:lang w:val="es-ES"/>
              </w:rPr>
            </w:pPr>
            <w:r w:rsidRPr="006C18C5">
              <w:rPr>
                <w:rStyle w:val="Ninguno"/>
                <w:color w:val="auto"/>
                <w:sz w:val="20"/>
                <w:u w:color="377395"/>
                <w:lang w:val="es-ES"/>
              </w:rPr>
              <w:t xml:space="preserve">La Comunidad Paga con una demora de </w:t>
            </w:r>
            <w:r w:rsidR="006C18C5" w:rsidRPr="006C18C5">
              <w:rPr>
                <w:rStyle w:val="Ninguno"/>
                <w:color w:val="auto"/>
                <w:sz w:val="20"/>
                <w:u w:color="377395"/>
                <w:lang w:val="es-ES"/>
              </w:rPr>
              <w:t>6</w:t>
            </w:r>
            <w:r w:rsidRPr="006C18C5">
              <w:rPr>
                <w:rStyle w:val="Ninguno"/>
                <w:color w:val="auto"/>
                <w:sz w:val="20"/>
                <w:u w:color="377395"/>
                <w:lang w:val="es-ES"/>
              </w:rPr>
              <w:t>0 días y cada provincia financia el pago a las farmacias con un banco diferente.</w:t>
            </w:r>
          </w:p>
        </w:tc>
      </w:tr>
      <w:tr w:rsidR="0095331C" w:rsidRPr="009B6340" w:rsidTr="006C18C5">
        <w:tc>
          <w:tcPr>
            <w:cnfStyle w:val="001000000000"/>
            <w:tcW w:w="2376" w:type="dxa"/>
          </w:tcPr>
          <w:p w:rsidR="0095331C" w:rsidRPr="006C18C5" w:rsidRDefault="0095331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color w:val="auto"/>
                <w:sz w:val="22"/>
                <w:u w:color="377395"/>
                <w:lang w:val="es-ES"/>
              </w:rPr>
            </w:pPr>
            <w:r w:rsidRPr="006C18C5">
              <w:rPr>
                <w:rStyle w:val="Ninguno"/>
                <w:color w:val="auto"/>
                <w:sz w:val="22"/>
                <w:u w:color="377395"/>
                <w:lang w:val="es-ES"/>
              </w:rPr>
              <w:t>Aragón</w:t>
            </w:r>
          </w:p>
        </w:tc>
        <w:tc>
          <w:tcPr>
            <w:tcW w:w="1418" w:type="dxa"/>
          </w:tcPr>
          <w:p w:rsidR="0095331C" w:rsidRDefault="00EE7F23" w:rsidP="008C6987">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rPr>
                <w:rStyle w:val="Ninguno"/>
                <w:color w:val="auto"/>
                <w:u w:color="377395"/>
                <w:lang w:val="es-ES"/>
              </w:rPr>
            </w:pPr>
            <w:r w:rsidRPr="00EE7F23">
              <w:rPr>
                <w:rFonts w:ascii="Calibri" w:eastAsia="Times New Roman" w:hAnsi="Calibri" w:cs="Calibri"/>
                <w:sz w:val="22"/>
                <w:szCs w:val="22"/>
                <w:bdr w:val="none" w:sz="0" w:space="0" w:color="auto"/>
              </w:rPr>
              <w:t>26.557.752</w:t>
            </w:r>
          </w:p>
        </w:tc>
        <w:tc>
          <w:tcPr>
            <w:tcW w:w="5184" w:type="dxa"/>
          </w:tcPr>
          <w:p w:rsidR="0095331C" w:rsidRPr="006C18C5" w:rsidRDefault="008C6987">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rPr>
                <w:rStyle w:val="Ninguno"/>
                <w:color w:val="auto"/>
                <w:sz w:val="20"/>
                <w:u w:color="377395"/>
                <w:lang w:val="es-ES"/>
              </w:rPr>
            </w:pPr>
            <w:r w:rsidRPr="006C18C5">
              <w:rPr>
                <w:rStyle w:val="Ninguno"/>
                <w:color w:val="auto"/>
                <w:sz w:val="20"/>
                <w:u w:color="377395"/>
                <w:lang w:val="es-ES"/>
              </w:rPr>
              <w:t>Aunque se han producido impagos en el pasado, actualmente las farmacias cobran el torno al día 20 del mes siguiente a la facturación.</w:t>
            </w:r>
          </w:p>
        </w:tc>
      </w:tr>
      <w:tr w:rsidR="0095331C" w:rsidRPr="009B6340" w:rsidTr="006C18C5">
        <w:trPr>
          <w:cnfStyle w:val="000000100000"/>
        </w:trPr>
        <w:tc>
          <w:tcPr>
            <w:cnfStyle w:val="001000000000"/>
            <w:tcW w:w="2376" w:type="dxa"/>
          </w:tcPr>
          <w:p w:rsidR="0095331C" w:rsidRPr="006C18C5" w:rsidRDefault="0095331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color w:val="auto"/>
                <w:sz w:val="22"/>
                <w:u w:color="377395"/>
                <w:lang w:val="es-ES"/>
              </w:rPr>
            </w:pPr>
            <w:r w:rsidRPr="006C18C5">
              <w:rPr>
                <w:rStyle w:val="Ninguno"/>
                <w:color w:val="auto"/>
                <w:sz w:val="22"/>
                <w:u w:color="377395"/>
                <w:lang w:val="es-ES"/>
              </w:rPr>
              <w:t>Asturias</w:t>
            </w:r>
          </w:p>
        </w:tc>
        <w:tc>
          <w:tcPr>
            <w:tcW w:w="1418" w:type="dxa"/>
          </w:tcPr>
          <w:p w:rsidR="0095331C" w:rsidRDefault="00EE7F23" w:rsidP="008C6987">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rPr>
                <w:rStyle w:val="Ninguno"/>
                <w:color w:val="auto"/>
                <w:u w:color="377395"/>
                <w:lang w:val="es-ES"/>
              </w:rPr>
            </w:pPr>
            <w:r w:rsidRPr="00EE7F23">
              <w:rPr>
                <w:rFonts w:ascii="Calibri" w:eastAsia="Times New Roman" w:hAnsi="Calibri" w:cs="Calibri"/>
                <w:sz w:val="22"/>
                <w:szCs w:val="22"/>
                <w:bdr w:val="none" w:sz="0" w:space="0" w:color="auto"/>
              </w:rPr>
              <w:t>22.401.052</w:t>
            </w:r>
          </w:p>
        </w:tc>
        <w:tc>
          <w:tcPr>
            <w:tcW w:w="5184" w:type="dxa"/>
          </w:tcPr>
          <w:p w:rsidR="0095331C" w:rsidRPr="006C18C5" w:rsidRDefault="008C6987">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rPr>
                <w:rStyle w:val="Ninguno"/>
                <w:color w:val="auto"/>
                <w:sz w:val="20"/>
                <w:u w:color="377395"/>
                <w:lang w:val="es-ES"/>
              </w:rPr>
            </w:pPr>
            <w:r w:rsidRPr="006C18C5">
              <w:rPr>
                <w:rStyle w:val="Ninguno"/>
                <w:color w:val="auto"/>
                <w:sz w:val="20"/>
                <w:u w:color="377395"/>
                <w:lang w:val="es-ES"/>
              </w:rPr>
              <w:t>El pago se produce el día 20 del mes siguiente al de la factura</w:t>
            </w:r>
          </w:p>
        </w:tc>
      </w:tr>
      <w:tr w:rsidR="0095331C" w:rsidRPr="009B6340" w:rsidTr="006C18C5">
        <w:tc>
          <w:tcPr>
            <w:cnfStyle w:val="001000000000"/>
            <w:tcW w:w="2376" w:type="dxa"/>
          </w:tcPr>
          <w:p w:rsidR="0095331C" w:rsidRPr="006C18C5" w:rsidRDefault="0095331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color w:val="auto"/>
                <w:sz w:val="22"/>
                <w:u w:color="377395"/>
                <w:lang w:val="es-ES"/>
              </w:rPr>
            </w:pPr>
            <w:r w:rsidRPr="006C18C5">
              <w:rPr>
                <w:rStyle w:val="Ninguno"/>
                <w:color w:val="auto"/>
                <w:sz w:val="22"/>
                <w:u w:color="377395"/>
                <w:lang w:val="es-ES"/>
              </w:rPr>
              <w:t>Baleares</w:t>
            </w:r>
          </w:p>
        </w:tc>
        <w:tc>
          <w:tcPr>
            <w:tcW w:w="1418" w:type="dxa"/>
          </w:tcPr>
          <w:p w:rsidR="0095331C" w:rsidRDefault="00EE7F23" w:rsidP="008C6987">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rPr>
                <w:rStyle w:val="Ninguno"/>
                <w:color w:val="auto"/>
                <w:u w:color="377395"/>
                <w:lang w:val="es-ES"/>
              </w:rPr>
            </w:pPr>
            <w:r w:rsidRPr="00EE7F23">
              <w:rPr>
                <w:rFonts w:ascii="Calibri" w:eastAsia="Times New Roman" w:hAnsi="Calibri" w:cs="Calibri"/>
                <w:sz w:val="22"/>
                <w:szCs w:val="22"/>
                <w:bdr w:val="none" w:sz="0" w:space="0" w:color="auto"/>
              </w:rPr>
              <w:t>15.946.196</w:t>
            </w:r>
          </w:p>
        </w:tc>
        <w:tc>
          <w:tcPr>
            <w:tcW w:w="5184" w:type="dxa"/>
          </w:tcPr>
          <w:p w:rsidR="0095331C" w:rsidRPr="006C18C5" w:rsidRDefault="008C6987">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rPr>
                <w:rStyle w:val="Ninguno"/>
                <w:color w:val="auto"/>
                <w:sz w:val="20"/>
                <w:u w:color="377395"/>
                <w:lang w:val="es-ES"/>
              </w:rPr>
            </w:pPr>
            <w:r w:rsidRPr="006C18C5">
              <w:rPr>
                <w:rStyle w:val="Ninguno"/>
                <w:color w:val="auto"/>
                <w:sz w:val="20"/>
                <w:u w:color="377395"/>
                <w:lang w:val="es-ES"/>
              </w:rPr>
              <w:t>Aunque se han producido impagos en el pasado, actualmente las farmacias cobran el torno al día 20 del mes siguiente a la facturación.</w:t>
            </w:r>
          </w:p>
        </w:tc>
      </w:tr>
      <w:tr w:rsidR="0095331C" w:rsidRPr="009B6340" w:rsidTr="006C18C5">
        <w:trPr>
          <w:cnfStyle w:val="000000100000"/>
        </w:trPr>
        <w:tc>
          <w:tcPr>
            <w:cnfStyle w:val="001000000000"/>
            <w:tcW w:w="2376" w:type="dxa"/>
          </w:tcPr>
          <w:p w:rsidR="0095331C" w:rsidRPr="006C18C5" w:rsidRDefault="0095331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color w:val="auto"/>
                <w:sz w:val="22"/>
                <w:u w:color="377395"/>
                <w:lang w:val="es-ES"/>
              </w:rPr>
            </w:pPr>
            <w:r w:rsidRPr="006C18C5">
              <w:rPr>
                <w:rStyle w:val="Ninguno"/>
                <w:color w:val="auto"/>
                <w:sz w:val="22"/>
                <w:u w:color="377395"/>
                <w:lang w:val="es-ES"/>
              </w:rPr>
              <w:t>Canarias</w:t>
            </w:r>
          </w:p>
        </w:tc>
        <w:tc>
          <w:tcPr>
            <w:tcW w:w="1418" w:type="dxa"/>
          </w:tcPr>
          <w:p w:rsidR="0095331C" w:rsidRDefault="008C6987" w:rsidP="008C6987">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rPr>
                <w:rStyle w:val="Ninguno"/>
                <w:color w:val="auto"/>
                <w:u w:color="377395"/>
                <w:lang w:val="es-ES"/>
              </w:rPr>
            </w:pPr>
            <w:r w:rsidRPr="00EE7F23">
              <w:rPr>
                <w:rFonts w:ascii="Calibri" w:eastAsia="Times New Roman" w:hAnsi="Calibri" w:cs="Calibri"/>
                <w:sz w:val="22"/>
                <w:szCs w:val="22"/>
                <w:bdr w:val="none" w:sz="0" w:space="0" w:color="auto"/>
              </w:rPr>
              <w:t>38.078.355</w:t>
            </w:r>
          </w:p>
        </w:tc>
        <w:tc>
          <w:tcPr>
            <w:tcW w:w="5184" w:type="dxa"/>
          </w:tcPr>
          <w:p w:rsidR="0095331C" w:rsidRPr="006C18C5" w:rsidRDefault="006C18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rPr>
                <w:rStyle w:val="Ninguno"/>
                <w:color w:val="auto"/>
                <w:sz w:val="20"/>
                <w:u w:color="377395"/>
                <w:lang w:val="es-ES"/>
              </w:rPr>
            </w:pPr>
            <w:r w:rsidRPr="006C18C5">
              <w:rPr>
                <w:rStyle w:val="Ninguno"/>
                <w:color w:val="auto"/>
                <w:sz w:val="20"/>
                <w:u w:color="377395"/>
                <w:lang w:val="es-ES"/>
              </w:rPr>
              <w:t>El pago se produce el día 20 del mes siguiente al de la factura</w:t>
            </w:r>
          </w:p>
        </w:tc>
      </w:tr>
      <w:tr w:rsidR="0095331C" w:rsidRPr="009B6340" w:rsidTr="006C18C5">
        <w:tc>
          <w:tcPr>
            <w:cnfStyle w:val="001000000000"/>
            <w:tcW w:w="2376" w:type="dxa"/>
          </w:tcPr>
          <w:p w:rsidR="0095331C" w:rsidRPr="006C18C5" w:rsidRDefault="0095331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color w:val="auto"/>
                <w:sz w:val="22"/>
                <w:u w:color="377395"/>
                <w:lang w:val="es-ES"/>
              </w:rPr>
            </w:pPr>
            <w:r w:rsidRPr="006C18C5">
              <w:rPr>
                <w:rStyle w:val="Ninguno"/>
                <w:color w:val="auto"/>
                <w:sz w:val="22"/>
                <w:u w:color="377395"/>
                <w:lang w:val="es-ES"/>
              </w:rPr>
              <w:t>Cantabria</w:t>
            </w:r>
          </w:p>
        </w:tc>
        <w:tc>
          <w:tcPr>
            <w:tcW w:w="1418" w:type="dxa"/>
          </w:tcPr>
          <w:p w:rsidR="0095331C" w:rsidRDefault="008C6987" w:rsidP="008C6987">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rPr>
                <w:rStyle w:val="Ninguno"/>
                <w:color w:val="auto"/>
                <w:u w:color="377395"/>
                <w:lang w:val="es-ES"/>
              </w:rPr>
            </w:pPr>
            <w:r w:rsidRPr="00EE7F23">
              <w:rPr>
                <w:rFonts w:ascii="Calibri" w:eastAsia="Times New Roman" w:hAnsi="Calibri" w:cs="Calibri"/>
                <w:sz w:val="22"/>
                <w:szCs w:val="22"/>
                <w:bdr w:val="none" w:sz="0" w:space="0" w:color="auto"/>
              </w:rPr>
              <w:t>11.487.167</w:t>
            </w:r>
          </w:p>
        </w:tc>
        <w:tc>
          <w:tcPr>
            <w:tcW w:w="5184" w:type="dxa"/>
          </w:tcPr>
          <w:p w:rsidR="0095331C" w:rsidRPr="006C18C5" w:rsidRDefault="006C18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rPr>
                <w:rStyle w:val="Ninguno"/>
                <w:color w:val="auto"/>
                <w:sz w:val="20"/>
                <w:u w:color="377395"/>
                <w:lang w:val="es-ES"/>
              </w:rPr>
            </w:pPr>
            <w:r w:rsidRPr="006C18C5">
              <w:rPr>
                <w:rStyle w:val="Ninguno"/>
                <w:color w:val="auto"/>
                <w:sz w:val="20"/>
                <w:u w:color="377395"/>
                <w:lang w:val="es-ES"/>
              </w:rPr>
              <w:t>El pago se produce el día 20 del mes siguiente al de la factura</w:t>
            </w:r>
          </w:p>
        </w:tc>
      </w:tr>
      <w:tr w:rsidR="0095331C" w:rsidRPr="009B6340" w:rsidTr="006C18C5">
        <w:trPr>
          <w:cnfStyle w:val="000000100000"/>
        </w:trPr>
        <w:tc>
          <w:tcPr>
            <w:cnfStyle w:val="001000000000"/>
            <w:tcW w:w="2376" w:type="dxa"/>
          </w:tcPr>
          <w:p w:rsidR="0095331C" w:rsidRPr="006C18C5" w:rsidRDefault="0095331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color w:val="auto"/>
                <w:sz w:val="22"/>
                <w:u w:color="377395"/>
                <w:lang w:val="es-ES"/>
              </w:rPr>
            </w:pPr>
            <w:r w:rsidRPr="006C18C5">
              <w:rPr>
                <w:rStyle w:val="Ninguno"/>
                <w:color w:val="auto"/>
                <w:sz w:val="22"/>
                <w:u w:color="377395"/>
                <w:lang w:val="es-ES"/>
              </w:rPr>
              <w:t>Castilla La Mancha</w:t>
            </w:r>
          </w:p>
        </w:tc>
        <w:tc>
          <w:tcPr>
            <w:tcW w:w="1418" w:type="dxa"/>
          </w:tcPr>
          <w:p w:rsidR="0095331C" w:rsidRDefault="008C6987" w:rsidP="008C6987">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rPr>
                <w:rStyle w:val="Ninguno"/>
                <w:color w:val="auto"/>
                <w:u w:color="377395"/>
                <w:lang w:val="es-ES"/>
              </w:rPr>
            </w:pPr>
            <w:r w:rsidRPr="00EE7F23">
              <w:rPr>
                <w:rFonts w:ascii="Calibri" w:eastAsia="Times New Roman" w:hAnsi="Calibri" w:cs="Calibri"/>
                <w:sz w:val="22"/>
                <w:szCs w:val="22"/>
                <w:bdr w:val="none" w:sz="0" w:space="0" w:color="auto"/>
              </w:rPr>
              <w:t>40.418.630</w:t>
            </w:r>
          </w:p>
        </w:tc>
        <w:tc>
          <w:tcPr>
            <w:tcW w:w="5184" w:type="dxa"/>
          </w:tcPr>
          <w:p w:rsidR="0095331C" w:rsidRPr="006C18C5" w:rsidRDefault="006C18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rPr>
                <w:rStyle w:val="Ninguno"/>
                <w:color w:val="auto"/>
                <w:sz w:val="20"/>
                <w:u w:color="377395"/>
                <w:lang w:val="es-ES"/>
              </w:rPr>
            </w:pPr>
            <w:r w:rsidRPr="006C18C5">
              <w:rPr>
                <w:rStyle w:val="Ninguno"/>
                <w:color w:val="auto"/>
                <w:sz w:val="20"/>
                <w:u w:color="377395"/>
                <w:lang w:val="es-ES"/>
              </w:rPr>
              <w:t>Aunque se han producido impagos en el pasado, actualmente las farmacias cobran el torno al día 20 del mes siguiente a la facturación.</w:t>
            </w:r>
          </w:p>
        </w:tc>
      </w:tr>
      <w:tr w:rsidR="0095331C" w:rsidRPr="009B6340" w:rsidTr="006C18C5">
        <w:tc>
          <w:tcPr>
            <w:cnfStyle w:val="001000000000"/>
            <w:tcW w:w="2376" w:type="dxa"/>
          </w:tcPr>
          <w:p w:rsidR="0095331C" w:rsidRPr="006C18C5" w:rsidRDefault="0095331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color w:val="auto"/>
                <w:sz w:val="22"/>
                <w:u w:color="377395"/>
                <w:lang w:val="es-ES"/>
              </w:rPr>
            </w:pPr>
            <w:r w:rsidRPr="006C18C5">
              <w:rPr>
                <w:rStyle w:val="Ninguno"/>
                <w:color w:val="auto"/>
                <w:sz w:val="22"/>
                <w:u w:color="377395"/>
                <w:lang w:val="es-ES"/>
              </w:rPr>
              <w:t>Castilla y León</w:t>
            </w:r>
          </w:p>
        </w:tc>
        <w:tc>
          <w:tcPr>
            <w:tcW w:w="1418" w:type="dxa"/>
          </w:tcPr>
          <w:p w:rsidR="0095331C" w:rsidRDefault="008C6987" w:rsidP="008C6987">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rPr>
                <w:rStyle w:val="Ninguno"/>
                <w:color w:val="auto"/>
                <w:u w:color="377395"/>
                <w:lang w:val="es-ES"/>
              </w:rPr>
            </w:pPr>
            <w:r w:rsidRPr="00EE7F23">
              <w:rPr>
                <w:rFonts w:ascii="Calibri" w:eastAsia="Times New Roman" w:hAnsi="Calibri" w:cs="Calibri"/>
                <w:sz w:val="22"/>
                <w:szCs w:val="22"/>
                <w:bdr w:val="none" w:sz="0" w:space="0" w:color="auto"/>
              </w:rPr>
              <w:t>48.042.431</w:t>
            </w:r>
          </w:p>
        </w:tc>
        <w:tc>
          <w:tcPr>
            <w:tcW w:w="5184" w:type="dxa"/>
          </w:tcPr>
          <w:p w:rsidR="0095331C" w:rsidRPr="006C18C5" w:rsidRDefault="006C18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rPr>
                <w:rStyle w:val="Ninguno"/>
                <w:color w:val="auto"/>
                <w:sz w:val="20"/>
                <w:u w:color="377395"/>
                <w:lang w:val="es-ES"/>
              </w:rPr>
            </w:pPr>
            <w:r w:rsidRPr="006C18C5">
              <w:rPr>
                <w:rStyle w:val="Ninguno"/>
                <w:color w:val="auto"/>
                <w:sz w:val="20"/>
                <w:u w:color="377395"/>
                <w:lang w:val="es-ES"/>
              </w:rPr>
              <w:t>El pago se produce el día 20 del mes siguiente al de la factura</w:t>
            </w:r>
          </w:p>
        </w:tc>
      </w:tr>
      <w:tr w:rsidR="0095331C" w:rsidRPr="009B6340" w:rsidTr="006C18C5">
        <w:trPr>
          <w:cnfStyle w:val="000000100000"/>
        </w:trPr>
        <w:tc>
          <w:tcPr>
            <w:cnfStyle w:val="001000000000"/>
            <w:tcW w:w="2376" w:type="dxa"/>
          </w:tcPr>
          <w:p w:rsidR="0095331C" w:rsidRPr="006C18C5" w:rsidRDefault="0095331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color w:val="auto"/>
                <w:sz w:val="22"/>
                <w:u w:color="377395"/>
                <w:lang w:val="es-ES"/>
              </w:rPr>
            </w:pPr>
            <w:r w:rsidRPr="006C18C5">
              <w:rPr>
                <w:rStyle w:val="Ninguno"/>
                <w:color w:val="auto"/>
                <w:sz w:val="22"/>
                <w:u w:color="377395"/>
                <w:lang w:val="es-ES"/>
              </w:rPr>
              <w:t>Cataluña</w:t>
            </w:r>
          </w:p>
        </w:tc>
        <w:tc>
          <w:tcPr>
            <w:tcW w:w="1418" w:type="dxa"/>
          </w:tcPr>
          <w:p w:rsidR="0095331C" w:rsidRDefault="008C6987" w:rsidP="008C6987">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rPr>
                <w:rStyle w:val="Ninguno"/>
                <w:color w:val="auto"/>
                <w:u w:color="377395"/>
                <w:lang w:val="es-ES"/>
              </w:rPr>
            </w:pPr>
            <w:r w:rsidRPr="00EE7F23">
              <w:rPr>
                <w:rFonts w:ascii="Calibri" w:eastAsia="Times New Roman" w:hAnsi="Calibri" w:cs="Calibri"/>
                <w:sz w:val="22"/>
                <w:szCs w:val="22"/>
                <w:bdr w:val="none" w:sz="0" w:space="0" w:color="auto"/>
              </w:rPr>
              <w:t>116.072.581</w:t>
            </w:r>
          </w:p>
        </w:tc>
        <w:tc>
          <w:tcPr>
            <w:tcW w:w="5184" w:type="dxa"/>
          </w:tcPr>
          <w:p w:rsidR="0095331C" w:rsidRPr="006C18C5" w:rsidRDefault="00326948" w:rsidP="006C18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rPr>
                <w:rStyle w:val="Ninguno"/>
                <w:color w:val="auto"/>
                <w:sz w:val="20"/>
                <w:u w:color="377395"/>
                <w:lang w:val="es-ES"/>
              </w:rPr>
            </w:pPr>
            <w:r>
              <w:rPr>
                <w:rStyle w:val="Ninguno"/>
                <w:color w:val="auto"/>
                <w:sz w:val="20"/>
                <w:u w:color="377395"/>
                <w:lang w:val="es-ES"/>
              </w:rPr>
              <w:t>La Comunidad p</w:t>
            </w:r>
            <w:r w:rsidR="006C18C5" w:rsidRPr="006C18C5">
              <w:rPr>
                <w:rStyle w:val="Ninguno"/>
                <w:color w:val="auto"/>
                <w:sz w:val="20"/>
                <w:u w:color="377395"/>
                <w:lang w:val="es-ES"/>
              </w:rPr>
              <w:t>aga con una demora de 60 - 90 días y el pago se financia con factoring</w:t>
            </w:r>
            <w:r w:rsidR="000C4266">
              <w:rPr>
                <w:rStyle w:val="Ninguno"/>
                <w:color w:val="auto"/>
                <w:sz w:val="20"/>
                <w:u w:color="377395"/>
                <w:lang w:val="es-ES"/>
              </w:rPr>
              <w:t xml:space="preserve"> individual de cada farmacia que ha negociado la corporación para todos con el banco.</w:t>
            </w:r>
          </w:p>
        </w:tc>
      </w:tr>
      <w:tr w:rsidR="0095331C" w:rsidRPr="009B6340" w:rsidTr="006C18C5">
        <w:tc>
          <w:tcPr>
            <w:cnfStyle w:val="001000000000"/>
            <w:tcW w:w="2376" w:type="dxa"/>
          </w:tcPr>
          <w:p w:rsidR="0095331C" w:rsidRPr="006C18C5" w:rsidRDefault="0095331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color w:val="auto"/>
                <w:sz w:val="22"/>
                <w:u w:color="377395"/>
                <w:lang w:val="es-ES"/>
              </w:rPr>
            </w:pPr>
            <w:r w:rsidRPr="006C18C5">
              <w:rPr>
                <w:rStyle w:val="Ninguno"/>
                <w:color w:val="auto"/>
                <w:sz w:val="22"/>
                <w:u w:color="377395"/>
                <w:lang w:val="es-ES"/>
              </w:rPr>
              <w:t>C. Valenciana</w:t>
            </w:r>
          </w:p>
        </w:tc>
        <w:tc>
          <w:tcPr>
            <w:tcW w:w="1418" w:type="dxa"/>
          </w:tcPr>
          <w:p w:rsidR="0095331C" w:rsidRDefault="008C6987" w:rsidP="008C6987">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rPr>
                <w:rStyle w:val="Ninguno"/>
                <w:color w:val="auto"/>
                <w:u w:color="377395"/>
                <w:lang w:val="es-ES"/>
              </w:rPr>
            </w:pPr>
            <w:r w:rsidRPr="00EE7F23">
              <w:rPr>
                <w:rFonts w:ascii="Calibri" w:eastAsia="Times New Roman" w:hAnsi="Calibri" w:cs="Calibri"/>
                <w:sz w:val="22"/>
                <w:szCs w:val="22"/>
                <w:bdr w:val="none" w:sz="0" w:space="0" w:color="auto"/>
              </w:rPr>
              <w:t>101.025.853</w:t>
            </w:r>
          </w:p>
        </w:tc>
        <w:tc>
          <w:tcPr>
            <w:tcW w:w="5184" w:type="dxa"/>
          </w:tcPr>
          <w:p w:rsidR="0095331C" w:rsidRPr="006C18C5" w:rsidRDefault="006C18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rPr>
                <w:rStyle w:val="Ninguno"/>
                <w:color w:val="auto"/>
                <w:sz w:val="20"/>
                <w:u w:color="377395"/>
                <w:lang w:val="es-ES"/>
              </w:rPr>
            </w:pPr>
            <w:r w:rsidRPr="006C18C5">
              <w:rPr>
                <w:rStyle w:val="Ninguno"/>
                <w:color w:val="auto"/>
                <w:sz w:val="20"/>
                <w:u w:color="377395"/>
                <w:lang w:val="es-ES"/>
              </w:rPr>
              <w:t>Existe una demora de 60-90 días. Un mes se paga con crédito conseguido por el Colegio y el resto con financiación privada bancaria.</w:t>
            </w:r>
          </w:p>
        </w:tc>
      </w:tr>
      <w:tr w:rsidR="0095331C" w:rsidRPr="009B6340" w:rsidTr="006C18C5">
        <w:trPr>
          <w:cnfStyle w:val="000000100000"/>
        </w:trPr>
        <w:tc>
          <w:tcPr>
            <w:cnfStyle w:val="001000000000"/>
            <w:tcW w:w="2376" w:type="dxa"/>
          </w:tcPr>
          <w:p w:rsidR="0095331C" w:rsidRPr="006C18C5" w:rsidRDefault="0095331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color w:val="auto"/>
                <w:sz w:val="22"/>
                <w:u w:color="377395"/>
                <w:lang w:val="es-ES"/>
              </w:rPr>
            </w:pPr>
            <w:r w:rsidRPr="006C18C5">
              <w:rPr>
                <w:rStyle w:val="Ninguno"/>
                <w:color w:val="auto"/>
                <w:sz w:val="22"/>
                <w:u w:color="377395"/>
                <w:lang w:val="es-ES"/>
              </w:rPr>
              <w:t>Extremadura</w:t>
            </w:r>
          </w:p>
        </w:tc>
        <w:tc>
          <w:tcPr>
            <w:tcW w:w="1418" w:type="dxa"/>
          </w:tcPr>
          <w:p w:rsidR="0095331C" w:rsidRDefault="008C6987" w:rsidP="008C6987">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rPr>
                <w:rStyle w:val="Ninguno"/>
                <w:color w:val="auto"/>
                <w:u w:color="377395"/>
                <w:lang w:val="es-ES"/>
              </w:rPr>
            </w:pPr>
            <w:r w:rsidRPr="00EE7F23">
              <w:rPr>
                <w:rFonts w:ascii="Calibri" w:eastAsia="Times New Roman" w:hAnsi="Calibri" w:cs="Calibri"/>
                <w:sz w:val="22"/>
                <w:szCs w:val="22"/>
                <w:bdr w:val="none" w:sz="0" w:space="0" w:color="auto"/>
              </w:rPr>
              <w:t>26.132.973</w:t>
            </w:r>
          </w:p>
        </w:tc>
        <w:tc>
          <w:tcPr>
            <w:tcW w:w="5184" w:type="dxa"/>
          </w:tcPr>
          <w:p w:rsidR="0095331C" w:rsidRPr="006C18C5" w:rsidRDefault="006C18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rPr>
                <w:rStyle w:val="Ninguno"/>
                <w:color w:val="auto"/>
                <w:sz w:val="20"/>
                <w:u w:color="377395"/>
                <w:lang w:val="es-ES"/>
              </w:rPr>
            </w:pPr>
            <w:r w:rsidRPr="006C18C5">
              <w:rPr>
                <w:rStyle w:val="Ninguno"/>
                <w:color w:val="auto"/>
                <w:sz w:val="20"/>
                <w:u w:color="377395"/>
                <w:lang w:val="es-ES"/>
              </w:rPr>
              <w:t>El pago se produce el día 20 del mes siguiente al de la factura</w:t>
            </w:r>
          </w:p>
        </w:tc>
      </w:tr>
      <w:tr w:rsidR="0095331C" w:rsidRPr="009B6340" w:rsidTr="006C18C5">
        <w:tc>
          <w:tcPr>
            <w:cnfStyle w:val="001000000000"/>
            <w:tcW w:w="2376" w:type="dxa"/>
          </w:tcPr>
          <w:p w:rsidR="0095331C" w:rsidRPr="006C18C5" w:rsidRDefault="0095331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color w:val="auto"/>
                <w:sz w:val="22"/>
                <w:u w:color="377395"/>
                <w:lang w:val="es-ES"/>
              </w:rPr>
            </w:pPr>
            <w:r w:rsidRPr="006C18C5">
              <w:rPr>
                <w:rStyle w:val="Ninguno"/>
                <w:color w:val="auto"/>
                <w:sz w:val="22"/>
                <w:u w:color="377395"/>
                <w:lang w:val="es-ES"/>
              </w:rPr>
              <w:t>Galicia</w:t>
            </w:r>
          </w:p>
        </w:tc>
        <w:tc>
          <w:tcPr>
            <w:tcW w:w="1418" w:type="dxa"/>
          </w:tcPr>
          <w:p w:rsidR="0095331C" w:rsidRDefault="008C6987" w:rsidP="008C6987">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rPr>
                <w:rStyle w:val="Ninguno"/>
                <w:color w:val="auto"/>
                <w:u w:color="377395"/>
                <w:lang w:val="es-ES"/>
              </w:rPr>
            </w:pPr>
            <w:r w:rsidRPr="00EE7F23">
              <w:rPr>
                <w:rFonts w:ascii="Calibri" w:eastAsia="Times New Roman" w:hAnsi="Calibri" w:cs="Calibri"/>
                <w:sz w:val="22"/>
                <w:szCs w:val="22"/>
                <w:bdr w:val="none" w:sz="0" w:space="0" w:color="auto"/>
              </w:rPr>
              <w:t>57.425.221</w:t>
            </w:r>
          </w:p>
        </w:tc>
        <w:tc>
          <w:tcPr>
            <w:tcW w:w="5184" w:type="dxa"/>
          </w:tcPr>
          <w:p w:rsidR="0095331C" w:rsidRPr="006C18C5" w:rsidRDefault="006C18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rPr>
                <w:rStyle w:val="Ninguno"/>
                <w:color w:val="auto"/>
                <w:sz w:val="20"/>
                <w:u w:color="377395"/>
                <w:lang w:val="es-ES"/>
              </w:rPr>
            </w:pPr>
            <w:r w:rsidRPr="006C18C5">
              <w:rPr>
                <w:rStyle w:val="Ninguno"/>
                <w:color w:val="auto"/>
                <w:sz w:val="20"/>
                <w:u w:color="377395"/>
                <w:lang w:val="es-ES"/>
              </w:rPr>
              <w:t>El pago se produce el día 20 del mes siguiente al de la factura</w:t>
            </w:r>
          </w:p>
        </w:tc>
      </w:tr>
      <w:tr w:rsidR="0095331C" w:rsidRPr="009B6340" w:rsidTr="006C18C5">
        <w:trPr>
          <w:cnfStyle w:val="000000100000"/>
        </w:trPr>
        <w:tc>
          <w:tcPr>
            <w:cnfStyle w:val="001000000000"/>
            <w:tcW w:w="2376" w:type="dxa"/>
          </w:tcPr>
          <w:p w:rsidR="0095331C" w:rsidRPr="006C18C5" w:rsidRDefault="0095331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color w:val="auto"/>
                <w:sz w:val="22"/>
                <w:u w:color="377395"/>
                <w:lang w:val="es-ES"/>
              </w:rPr>
            </w:pPr>
            <w:r w:rsidRPr="006C18C5">
              <w:rPr>
                <w:rStyle w:val="Ninguno"/>
                <w:color w:val="auto"/>
                <w:sz w:val="22"/>
                <w:u w:color="377395"/>
                <w:lang w:val="es-ES"/>
              </w:rPr>
              <w:t>Madrid</w:t>
            </w:r>
          </w:p>
        </w:tc>
        <w:tc>
          <w:tcPr>
            <w:tcW w:w="1418" w:type="dxa"/>
          </w:tcPr>
          <w:p w:rsidR="0095331C" w:rsidRDefault="008C6987" w:rsidP="008C6987">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rPr>
                <w:rStyle w:val="Ninguno"/>
                <w:color w:val="auto"/>
                <w:u w:color="377395"/>
                <w:lang w:val="es-ES"/>
              </w:rPr>
            </w:pPr>
            <w:r w:rsidRPr="00EE7F23">
              <w:rPr>
                <w:rFonts w:ascii="Calibri" w:eastAsia="Times New Roman" w:hAnsi="Calibri" w:cs="Calibri"/>
                <w:sz w:val="22"/>
                <w:szCs w:val="22"/>
                <w:bdr w:val="none" w:sz="0" w:space="0" w:color="auto"/>
              </w:rPr>
              <w:t>96.492.213</w:t>
            </w:r>
          </w:p>
        </w:tc>
        <w:tc>
          <w:tcPr>
            <w:tcW w:w="5184" w:type="dxa"/>
          </w:tcPr>
          <w:p w:rsidR="0095331C" w:rsidRPr="006C18C5" w:rsidRDefault="006C18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rPr>
                <w:rStyle w:val="Ninguno"/>
                <w:color w:val="auto"/>
                <w:sz w:val="20"/>
                <w:u w:color="377395"/>
                <w:lang w:val="es-ES"/>
              </w:rPr>
            </w:pPr>
            <w:r>
              <w:rPr>
                <w:rStyle w:val="Ninguno"/>
                <w:color w:val="auto"/>
                <w:sz w:val="20"/>
                <w:u w:color="377395"/>
                <w:lang w:val="es-ES"/>
              </w:rPr>
              <w:t>El Colegio mantiene una póliza de unos 100 millones de euros. La Comunidad adelanta el pago 2 días cada mes para pagar los intereses. Si a final del ejercicio se produce el impago de un mes se pone en vigor la póliza.</w:t>
            </w:r>
          </w:p>
        </w:tc>
      </w:tr>
      <w:tr w:rsidR="0095331C" w:rsidRPr="009B6340" w:rsidTr="006C18C5">
        <w:tc>
          <w:tcPr>
            <w:cnfStyle w:val="001000000000"/>
            <w:tcW w:w="2376" w:type="dxa"/>
          </w:tcPr>
          <w:p w:rsidR="0095331C" w:rsidRPr="006C18C5" w:rsidRDefault="0095331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color w:val="auto"/>
                <w:sz w:val="22"/>
                <w:u w:color="377395"/>
                <w:lang w:val="es-ES"/>
              </w:rPr>
            </w:pPr>
            <w:r w:rsidRPr="006C18C5">
              <w:rPr>
                <w:rStyle w:val="Ninguno"/>
                <w:color w:val="auto"/>
                <w:sz w:val="22"/>
                <w:u w:color="377395"/>
                <w:lang w:val="es-ES"/>
              </w:rPr>
              <w:t>Murcia</w:t>
            </w:r>
          </w:p>
        </w:tc>
        <w:tc>
          <w:tcPr>
            <w:tcW w:w="1418" w:type="dxa"/>
          </w:tcPr>
          <w:p w:rsidR="0095331C" w:rsidRDefault="008C6987" w:rsidP="008C6987">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rPr>
                <w:rStyle w:val="Ninguno"/>
                <w:color w:val="auto"/>
                <w:u w:color="377395"/>
                <w:lang w:val="es-ES"/>
              </w:rPr>
            </w:pPr>
            <w:r w:rsidRPr="00EE7F23">
              <w:rPr>
                <w:rFonts w:ascii="Calibri" w:eastAsia="Times New Roman" w:hAnsi="Calibri" w:cs="Calibri"/>
                <w:sz w:val="22"/>
                <w:szCs w:val="22"/>
                <w:bdr w:val="none" w:sz="0" w:space="0" w:color="auto"/>
              </w:rPr>
              <w:t>28.169.325</w:t>
            </w:r>
          </w:p>
        </w:tc>
        <w:tc>
          <w:tcPr>
            <w:tcW w:w="5184" w:type="dxa"/>
          </w:tcPr>
          <w:p w:rsidR="0095331C" w:rsidRPr="006C18C5" w:rsidRDefault="006C18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rPr>
                <w:rStyle w:val="Ninguno"/>
                <w:color w:val="auto"/>
                <w:sz w:val="20"/>
                <w:u w:color="377395"/>
                <w:lang w:val="es-ES"/>
              </w:rPr>
            </w:pPr>
            <w:r>
              <w:rPr>
                <w:rStyle w:val="Ninguno"/>
                <w:color w:val="auto"/>
                <w:sz w:val="20"/>
                <w:u w:color="377395"/>
                <w:lang w:val="es-ES"/>
              </w:rPr>
              <w:t>Aunque los farmacéuticos tuvieron que avalar personalmente a la Comunidad Autónoma en el pasado, actualmente el pago de produce el 20 del mes siguiente.</w:t>
            </w:r>
          </w:p>
        </w:tc>
      </w:tr>
      <w:tr w:rsidR="0095331C" w:rsidRPr="009B6340" w:rsidTr="006C18C5">
        <w:trPr>
          <w:cnfStyle w:val="000000100000"/>
        </w:trPr>
        <w:tc>
          <w:tcPr>
            <w:cnfStyle w:val="001000000000"/>
            <w:tcW w:w="2376" w:type="dxa"/>
          </w:tcPr>
          <w:p w:rsidR="0095331C" w:rsidRPr="006C18C5" w:rsidRDefault="0095331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color w:val="auto"/>
                <w:sz w:val="22"/>
                <w:u w:color="377395"/>
                <w:lang w:val="es-ES"/>
              </w:rPr>
            </w:pPr>
            <w:r w:rsidRPr="006C18C5">
              <w:rPr>
                <w:rStyle w:val="Ninguno"/>
                <w:color w:val="auto"/>
                <w:sz w:val="22"/>
                <w:u w:color="377395"/>
                <w:lang w:val="es-ES"/>
              </w:rPr>
              <w:t>Navarra</w:t>
            </w:r>
          </w:p>
        </w:tc>
        <w:tc>
          <w:tcPr>
            <w:tcW w:w="1418" w:type="dxa"/>
          </w:tcPr>
          <w:p w:rsidR="0095331C" w:rsidRDefault="008C6987" w:rsidP="008C6987">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rPr>
                <w:rStyle w:val="Ninguno"/>
                <w:color w:val="auto"/>
                <w:u w:color="377395"/>
                <w:lang w:val="es-ES"/>
              </w:rPr>
            </w:pPr>
            <w:r w:rsidRPr="00EE7F23">
              <w:rPr>
                <w:rFonts w:ascii="Calibri" w:eastAsia="Times New Roman" w:hAnsi="Calibri" w:cs="Calibri"/>
                <w:sz w:val="22"/>
                <w:szCs w:val="22"/>
                <w:bdr w:val="none" w:sz="0" w:space="0" w:color="auto"/>
              </w:rPr>
              <w:t>11.199.708</w:t>
            </w:r>
          </w:p>
        </w:tc>
        <w:tc>
          <w:tcPr>
            <w:tcW w:w="5184" w:type="dxa"/>
          </w:tcPr>
          <w:p w:rsidR="0095331C" w:rsidRPr="006C18C5" w:rsidRDefault="006C18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rPr>
                <w:rStyle w:val="Ninguno"/>
                <w:color w:val="auto"/>
                <w:sz w:val="20"/>
                <w:u w:color="377395"/>
                <w:lang w:val="es-ES"/>
              </w:rPr>
            </w:pPr>
            <w:r w:rsidRPr="006C18C5">
              <w:rPr>
                <w:rStyle w:val="Ninguno"/>
                <w:color w:val="auto"/>
                <w:sz w:val="20"/>
                <w:u w:color="377395"/>
                <w:lang w:val="es-ES"/>
              </w:rPr>
              <w:t>El pago se produce el día 20 del mes siguiente al de la factura</w:t>
            </w:r>
          </w:p>
        </w:tc>
      </w:tr>
      <w:tr w:rsidR="0095331C" w:rsidRPr="009B6340" w:rsidTr="006C18C5">
        <w:tc>
          <w:tcPr>
            <w:cnfStyle w:val="001000000000"/>
            <w:tcW w:w="2376" w:type="dxa"/>
          </w:tcPr>
          <w:p w:rsidR="0095331C" w:rsidRPr="006C18C5" w:rsidRDefault="0095331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color w:val="auto"/>
                <w:sz w:val="22"/>
                <w:u w:color="377395"/>
                <w:lang w:val="es-ES"/>
              </w:rPr>
            </w:pPr>
            <w:r w:rsidRPr="006C18C5">
              <w:rPr>
                <w:rStyle w:val="Ninguno"/>
                <w:color w:val="auto"/>
                <w:sz w:val="22"/>
                <w:u w:color="377395"/>
                <w:lang w:val="es-ES"/>
              </w:rPr>
              <w:t>País Vasco</w:t>
            </w:r>
          </w:p>
        </w:tc>
        <w:tc>
          <w:tcPr>
            <w:tcW w:w="1418" w:type="dxa"/>
          </w:tcPr>
          <w:p w:rsidR="0095331C" w:rsidRDefault="008C6987" w:rsidP="008C6987">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rPr>
                <w:rStyle w:val="Ninguno"/>
                <w:color w:val="auto"/>
                <w:u w:color="377395"/>
                <w:lang w:val="es-ES"/>
              </w:rPr>
            </w:pPr>
            <w:r w:rsidRPr="00EE7F23">
              <w:rPr>
                <w:rFonts w:ascii="Calibri" w:eastAsia="Times New Roman" w:hAnsi="Calibri" w:cs="Calibri"/>
                <w:sz w:val="22"/>
                <w:szCs w:val="22"/>
                <w:bdr w:val="none" w:sz="0" w:space="0" w:color="auto"/>
              </w:rPr>
              <w:t>39.805.482</w:t>
            </w:r>
          </w:p>
        </w:tc>
        <w:tc>
          <w:tcPr>
            <w:tcW w:w="5184" w:type="dxa"/>
          </w:tcPr>
          <w:p w:rsidR="0095331C" w:rsidRPr="006C18C5" w:rsidRDefault="006C18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rPr>
                <w:rStyle w:val="Ninguno"/>
                <w:color w:val="auto"/>
                <w:sz w:val="20"/>
                <w:u w:color="377395"/>
                <w:lang w:val="es-ES"/>
              </w:rPr>
            </w:pPr>
            <w:r w:rsidRPr="006C18C5">
              <w:rPr>
                <w:rStyle w:val="Ninguno"/>
                <w:color w:val="auto"/>
                <w:sz w:val="20"/>
                <w:u w:color="377395"/>
                <w:lang w:val="es-ES"/>
              </w:rPr>
              <w:t>El pago se produce el día 20 del mes siguiente al de la factura</w:t>
            </w:r>
          </w:p>
        </w:tc>
      </w:tr>
      <w:tr w:rsidR="0095331C" w:rsidRPr="009B6340" w:rsidTr="006C18C5">
        <w:trPr>
          <w:cnfStyle w:val="000000100000"/>
        </w:trPr>
        <w:tc>
          <w:tcPr>
            <w:cnfStyle w:val="001000000000"/>
            <w:tcW w:w="2376" w:type="dxa"/>
          </w:tcPr>
          <w:p w:rsidR="0095331C" w:rsidRPr="006C18C5" w:rsidRDefault="0095331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color w:val="auto"/>
                <w:sz w:val="22"/>
                <w:u w:color="377395"/>
                <w:lang w:val="es-ES"/>
              </w:rPr>
            </w:pPr>
            <w:r w:rsidRPr="006C18C5">
              <w:rPr>
                <w:rStyle w:val="Ninguno"/>
                <w:color w:val="auto"/>
                <w:sz w:val="22"/>
                <w:u w:color="377395"/>
                <w:lang w:val="es-ES"/>
              </w:rPr>
              <w:t>La Rioja</w:t>
            </w:r>
          </w:p>
        </w:tc>
        <w:tc>
          <w:tcPr>
            <w:tcW w:w="1418" w:type="dxa"/>
          </w:tcPr>
          <w:p w:rsidR="0095331C" w:rsidRDefault="008C6987" w:rsidP="008C6987">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rPr>
                <w:rStyle w:val="Ninguno"/>
                <w:color w:val="auto"/>
                <w:u w:color="377395"/>
                <w:lang w:val="es-ES"/>
              </w:rPr>
            </w:pPr>
            <w:r w:rsidRPr="00EE7F23">
              <w:rPr>
                <w:rFonts w:ascii="Calibri" w:eastAsia="Times New Roman" w:hAnsi="Calibri" w:cs="Calibri"/>
                <w:sz w:val="22"/>
                <w:szCs w:val="22"/>
                <w:bdr w:val="none" w:sz="0" w:space="0" w:color="auto"/>
              </w:rPr>
              <w:t>5.913.832</w:t>
            </w:r>
          </w:p>
        </w:tc>
        <w:tc>
          <w:tcPr>
            <w:tcW w:w="5184" w:type="dxa"/>
          </w:tcPr>
          <w:p w:rsidR="0095331C" w:rsidRPr="006C18C5" w:rsidRDefault="006C18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rPr>
                <w:rStyle w:val="Ninguno"/>
                <w:color w:val="auto"/>
                <w:sz w:val="20"/>
                <w:u w:color="377395"/>
                <w:lang w:val="es-ES"/>
              </w:rPr>
            </w:pPr>
            <w:r w:rsidRPr="006C18C5">
              <w:rPr>
                <w:rStyle w:val="Ninguno"/>
                <w:color w:val="auto"/>
                <w:sz w:val="20"/>
                <w:u w:color="377395"/>
                <w:lang w:val="es-ES"/>
              </w:rPr>
              <w:t>El pago se produce el día 20 del mes siguiente al de la factura</w:t>
            </w:r>
          </w:p>
        </w:tc>
      </w:tr>
      <w:tr w:rsidR="0095331C" w:rsidRPr="009B6340" w:rsidTr="006C18C5">
        <w:tc>
          <w:tcPr>
            <w:cnfStyle w:val="001000000000"/>
            <w:tcW w:w="2376" w:type="dxa"/>
          </w:tcPr>
          <w:p w:rsidR="0095331C" w:rsidRPr="006C18C5" w:rsidRDefault="00EE7F2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color w:val="auto"/>
                <w:sz w:val="22"/>
                <w:u w:color="377395"/>
                <w:lang w:val="es-ES"/>
              </w:rPr>
            </w:pPr>
            <w:r w:rsidRPr="006C18C5">
              <w:rPr>
                <w:rStyle w:val="Ninguno"/>
                <w:color w:val="auto"/>
                <w:sz w:val="22"/>
                <w:u w:color="377395"/>
                <w:lang w:val="es-ES"/>
              </w:rPr>
              <w:t>Ceuta</w:t>
            </w:r>
          </w:p>
        </w:tc>
        <w:tc>
          <w:tcPr>
            <w:tcW w:w="1418" w:type="dxa"/>
          </w:tcPr>
          <w:p w:rsidR="0095331C" w:rsidRDefault="008C6987" w:rsidP="008C6987">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rPr>
                <w:rStyle w:val="Ninguno"/>
                <w:color w:val="auto"/>
                <w:u w:color="377395"/>
                <w:lang w:val="es-ES"/>
              </w:rPr>
            </w:pPr>
            <w:r w:rsidRPr="00EE7F23">
              <w:rPr>
                <w:rFonts w:ascii="Calibri" w:eastAsia="Times New Roman" w:hAnsi="Calibri" w:cs="Calibri"/>
                <w:sz w:val="22"/>
                <w:szCs w:val="22"/>
                <w:bdr w:val="none" w:sz="0" w:space="0" w:color="auto"/>
              </w:rPr>
              <w:t>1.251.241</w:t>
            </w:r>
          </w:p>
        </w:tc>
        <w:tc>
          <w:tcPr>
            <w:tcW w:w="5184" w:type="dxa"/>
          </w:tcPr>
          <w:p w:rsidR="0095331C" w:rsidRPr="006C18C5" w:rsidRDefault="006C18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rPr>
                <w:rStyle w:val="Ninguno"/>
                <w:color w:val="auto"/>
                <w:sz w:val="20"/>
                <w:u w:color="377395"/>
                <w:lang w:val="es-ES"/>
              </w:rPr>
            </w:pPr>
            <w:r w:rsidRPr="006C18C5">
              <w:rPr>
                <w:rStyle w:val="Ninguno"/>
                <w:color w:val="auto"/>
                <w:sz w:val="20"/>
                <w:u w:color="377395"/>
                <w:lang w:val="es-ES"/>
              </w:rPr>
              <w:t>El pago se produce el día 20 del mes siguiente al de la factura</w:t>
            </w:r>
          </w:p>
        </w:tc>
      </w:tr>
      <w:tr w:rsidR="0095331C" w:rsidRPr="009B6340" w:rsidTr="006C18C5">
        <w:trPr>
          <w:cnfStyle w:val="000000100000"/>
        </w:trPr>
        <w:tc>
          <w:tcPr>
            <w:cnfStyle w:val="001000000000"/>
            <w:tcW w:w="2376" w:type="dxa"/>
          </w:tcPr>
          <w:p w:rsidR="0095331C" w:rsidRPr="006C18C5" w:rsidRDefault="00EE7F2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color w:val="auto"/>
                <w:sz w:val="22"/>
                <w:u w:color="377395"/>
                <w:lang w:val="es-ES"/>
              </w:rPr>
            </w:pPr>
            <w:r w:rsidRPr="006C18C5">
              <w:rPr>
                <w:rStyle w:val="Ninguno"/>
                <w:color w:val="auto"/>
                <w:sz w:val="22"/>
                <w:u w:color="377395"/>
                <w:lang w:val="es-ES"/>
              </w:rPr>
              <w:t>Melilla</w:t>
            </w:r>
          </w:p>
        </w:tc>
        <w:tc>
          <w:tcPr>
            <w:tcW w:w="1418" w:type="dxa"/>
          </w:tcPr>
          <w:p w:rsidR="0095331C" w:rsidRDefault="008C6987" w:rsidP="008C6987">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rPr>
                <w:rStyle w:val="Ninguno"/>
                <w:color w:val="auto"/>
                <w:u w:color="377395"/>
                <w:lang w:val="es-ES"/>
              </w:rPr>
            </w:pPr>
            <w:r w:rsidRPr="00EE7F23">
              <w:rPr>
                <w:rFonts w:ascii="Calibri" w:eastAsia="Times New Roman" w:hAnsi="Calibri" w:cs="Calibri"/>
                <w:sz w:val="22"/>
                <w:szCs w:val="22"/>
                <w:bdr w:val="none" w:sz="0" w:space="0" w:color="auto"/>
              </w:rPr>
              <w:t>1.118.955</w:t>
            </w:r>
          </w:p>
        </w:tc>
        <w:tc>
          <w:tcPr>
            <w:tcW w:w="5184" w:type="dxa"/>
          </w:tcPr>
          <w:p w:rsidR="0095331C" w:rsidRPr="006C18C5" w:rsidRDefault="006C18C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rPr>
                <w:rStyle w:val="Ninguno"/>
                <w:color w:val="auto"/>
                <w:sz w:val="20"/>
                <w:u w:color="377395"/>
                <w:lang w:val="es-ES"/>
              </w:rPr>
            </w:pPr>
            <w:r w:rsidRPr="006C18C5">
              <w:rPr>
                <w:rStyle w:val="Ninguno"/>
                <w:color w:val="auto"/>
                <w:sz w:val="20"/>
                <w:u w:color="377395"/>
                <w:lang w:val="es-ES"/>
              </w:rPr>
              <w:t>El pago se produce el día 20 del mes siguiente al de la factura</w:t>
            </w:r>
          </w:p>
        </w:tc>
      </w:tr>
      <w:tr w:rsidR="0095331C" w:rsidTr="006C18C5">
        <w:tc>
          <w:tcPr>
            <w:cnfStyle w:val="001000000000"/>
            <w:tcW w:w="2376" w:type="dxa"/>
            <w:shd w:val="clear" w:color="auto" w:fill="00B050"/>
          </w:tcPr>
          <w:p w:rsidR="0095331C" w:rsidRDefault="00EE7F23">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color w:val="auto"/>
                <w:u w:color="377395"/>
                <w:lang w:val="es-ES"/>
              </w:rPr>
            </w:pPr>
            <w:r>
              <w:rPr>
                <w:rStyle w:val="Ninguno"/>
                <w:color w:val="auto"/>
                <w:u w:color="377395"/>
                <w:lang w:val="es-ES"/>
              </w:rPr>
              <w:t>Nacional</w:t>
            </w:r>
          </w:p>
        </w:tc>
        <w:tc>
          <w:tcPr>
            <w:tcW w:w="1418" w:type="dxa"/>
            <w:shd w:val="clear" w:color="auto" w:fill="00B050"/>
          </w:tcPr>
          <w:p w:rsidR="0095331C" w:rsidRDefault="008C6987" w:rsidP="008C6987">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rPr>
                <w:rStyle w:val="Ninguno"/>
                <w:color w:val="auto"/>
                <w:u w:color="377395"/>
                <w:lang w:val="es-ES"/>
              </w:rPr>
            </w:pPr>
            <w:r w:rsidRPr="00EE7F23">
              <w:rPr>
                <w:rFonts w:ascii="Calibri" w:eastAsia="Times New Roman" w:hAnsi="Calibri" w:cs="Calibri"/>
                <w:sz w:val="22"/>
                <w:szCs w:val="22"/>
                <w:bdr w:val="none" w:sz="0" w:space="0" w:color="auto"/>
              </w:rPr>
              <w:t>830.717.726</w:t>
            </w:r>
          </w:p>
        </w:tc>
        <w:tc>
          <w:tcPr>
            <w:tcW w:w="5184" w:type="dxa"/>
            <w:shd w:val="clear" w:color="auto" w:fill="00B050"/>
          </w:tcPr>
          <w:p w:rsidR="0095331C" w:rsidRPr="006C18C5" w:rsidRDefault="0095331C">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rPr>
                <w:rStyle w:val="Ninguno"/>
                <w:color w:val="auto"/>
                <w:sz w:val="20"/>
                <w:u w:color="377395"/>
                <w:lang w:val="es-ES"/>
              </w:rPr>
            </w:pPr>
          </w:p>
        </w:tc>
      </w:tr>
    </w:tbl>
    <w:p w:rsidR="00F358F1" w:rsidRPr="00457B86" w:rsidRDefault="00CB4632">
      <w:pPr>
        <w:pStyle w:val="Cuerpo"/>
        <w:shd w:val="clear" w:color="auto" w:fill="FFFFFF"/>
        <w:jc w:val="both"/>
        <w:rPr>
          <w:rStyle w:val="Ninguno"/>
          <w:rFonts w:ascii="Arial Black" w:hAnsi="Arial Black"/>
          <w:b/>
          <w:color w:val="31849B" w:themeColor="accent5" w:themeShade="BF"/>
          <w:u w:color="377395"/>
          <w:lang w:val="es-ES"/>
        </w:rPr>
      </w:pPr>
      <w:r w:rsidRPr="00457B86">
        <w:rPr>
          <w:rStyle w:val="Ninguno"/>
          <w:rFonts w:ascii="Arial Black" w:hAnsi="Arial Black"/>
          <w:b/>
          <w:color w:val="31849B" w:themeColor="accent5" w:themeShade="BF"/>
          <w:u w:color="377395"/>
          <w:lang w:val="es-ES"/>
        </w:rPr>
        <w:lastRenderedPageBreak/>
        <w:t>Características Comunes de la facturación de recetas que realizan los Colegios.</w:t>
      </w:r>
    </w:p>
    <w:p w:rsidR="000E73CE" w:rsidRPr="00A25F63" w:rsidRDefault="000E73CE">
      <w:pPr>
        <w:pStyle w:val="Cuerpo"/>
        <w:shd w:val="clear" w:color="auto" w:fill="FFFFFF"/>
        <w:jc w:val="both"/>
        <w:rPr>
          <w:rStyle w:val="Ninguno"/>
          <w:rFonts w:ascii="Arial Black" w:hAnsi="Arial Black"/>
          <w:color w:val="008080"/>
          <w:sz w:val="16"/>
          <w:u w:color="377395"/>
          <w:lang w:val="es-ES"/>
        </w:rPr>
      </w:pPr>
    </w:p>
    <w:p w:rsidR="00007DE2" w:rsidRDefault="00457B86">
      <w:pPr>
        <w:pStyle w:val="Cuerpo"/>
        <w:shd w:val="clear" w:color="auto" w:fill="FFFFFF"/>
        <w:jc w:val="both"/>
        <w:rPr>
          <w:rStyle w:val="Ninguno"/>
          <w:color w:val="auto"/>
          <w:u w:color="377395"/>
          <w:lang w:val="es-ES"/>
        </w:rPr>
      </w:pPr>
      <w:r>
        <w:rPr>
          <w:rStyle w:val="Ninguno"/>
          <w:color w:val="auto"/>
          <w:u w:color="377395"/>
          <w:lang w:val="es-ES"/>
        </w:rPr>
        <w:t xml:space="preserve">La facturación que realizan los Colegios de Farmacéuticos es un proceso altamente probado desde el pasado siglo en el que se ha mantenido un nivel de calidad de datos con errores inferiores al 1/10.000 para la aceptación de las facturas por parte de las Comunidades Autónomas. </w:t>
      </w:r>
    </w:p>
    <w:p w:rsidR="00007DE2" w:rsidRDefault="00007DE2">
      <w:pPr>
        <w:pStyle w:val="Cuerpo"/>
        <w:shd w:val="clear" w:color="auto" w:fill="FFFFFF"/>
        <w:jc w:val="both"/>
        <w:rPr>
          <w:rStyle w:val="Ninguno"/>
          <w:color w:val="auto"/>
          <w:u w:color="377395"/>
          <w:lang w:val="es-ES"/>
        </w:rPr>
      </w:pPr>
    </w:p>
    <w:p w:rsidR="00CB4632" w:rsidRPr="00A25F63" w:rsidRDefault="00457B86">
      <w:pPr>
        <w:pStyle w:val="Cuerpo"/>
        <w:shd w:val="clear" w:color="auto" w:fill="FFFFFF"/>
        <w:jc w:val="both"/>
        <w:rPr>
          <w:rStyle w:val="Ninguno"/>
          <w:color w:val="auto"/>
          <w:sz w:val="22"/>
          <w:u w:color="377395"/>
          <w:lang w:val="es-ES"/>
        </w:rPr>
      </w:pPr>
      <w:r w:rsidRPr="00A25F63">
        <w:rPr>
          <w:rStyle w:val="Ninguno"/>
          <w:color w:val="auto"/>
          <w:sz w:val="22"/>
          <w:u w:color="377395"/>
          <w:lang w:val="es-ES"/>
        </w:rPr>
        <w:t>Tiene como característica común que los Colegios calculan la factura neta de cada farmacia aplicando todos los descuentos procedentes de los Reales Decretos Leyes 5/2000; 4 y 8 de 2010 y tienen en cuenta la aportación de los beneficiarios, ya cobrada por las farmacias. Además en el caso de las deducciones del RDL en que la farmacia paga también la deducción de la</w:t>
      </w:r>
      <w:r w:rsidR="00007DE2" w:rsidRPr="00A25F63">
        <w:rPr>
          <w:rStyle w:val="Ninguno"/>
          <w:color w:val="auto"/>
          <w:sz w:val="22"/>
          <w:u w:color="377395"/>
          <w:lang w:val="es-ES"/>
        </w:rPr>
        <w:t xml:space="preserve"> industria y de la distribución, reparte la parte pagada anticipadamente por la industria de las deducciones del 4, 7,5 y 15% aplicables a los distintos tipos de medicamentos no incluidos en precios de referencia.</w:t>
      </w:r>
    </w:p>
    <w:p w:rsidR="00007DE2" w:rsidRDefault="00007DE2">
      <w:pPr>
        <w:pStyle w:val="Cuerpo"/>
        <w:shd w:val="clear" w:color="auto" w:fill="FFFFFF"/>
        <w:jc w:val="both"/>
        <w:rPr>
          <w:rStyle w:val="Ninguno"/>
          <w:color w:val="auto"/>
          <w:u w:color="377395"/>
          <w:lang w:val="es-ES"/>
        </w:rPr>
      </w:pPr>
    </w:p>
    <w:p w:rsidR="00007DE2" w:rsidRDefault="00007DE2">
      <w:pPr>
        <w:pStyle w:val="Cuerpo"/>
        <w:shd w:val="clear" w:color="auto" w:fill="FFFFFF"/>
        <w:jc w:val="both"/>
        <w:rPr>
          <w:rStyle w:val="Ninguno"/>
          <w:color w:val="auto"/>
          <w:u w:color="377395"/>
          <w:lang w:val="es-ES"/>
        </w:rPr>
      </w:pPr>
      <w:r>
        <w:rPr>
          <w:rStyle w:val="Ninguno"/>
          <w:color w:val="auto"/>
          <w:u w:color="377395"/>
          <w:lang w:val="es-ES"/>
        </w:rPr>
        <w:t>También la extensión de la receta electrónica ha hecho disminuir de forma casi absoluta la devolución de recetas, y si esta se produce, se deduce de la siguiente factura. Es decir cada factura es neta y cobrable en su totalidad.</w:t>
      </w:r>
    </w:p>
    <w:p w:rsidR="00007DE2" w:rsidRDefault="00007DE2">
      <w:pPr>
        <w:pStyle w:val="Cuerpo"/>
        <w:shd w:val="clear" w:color="auto" w:fill="FFFFFF"/>
        <w:jc w:val="both"/>
        <w:rPr>
          <w:rStyle w:val="Ninguno"/>
          <w:color w:val="auto"/>
          <w:u w:color="377395"/>
          <w:lang w:val="es-ES"/>
        </w:rPr>
      </w:pPr>
    </w:p>
    <w:p w:rsidR="00007DE2" w:rsidRPr="00007DE2" w:rsidRDefault="00007DE2">
      <w:pPr>
        <w:pStyle w:val="Cuerpo"/>
        <w:shd w:val="clear" w:color="auto" w:fill="FFFFFF"/>
        <w:jc w:val="both"/>
        <w:rPr>
          <w:rStyle w:val="Ninguno"/>
          <w:rFonts w:ascii="Arial Black" w:hAnsi="Arial Black"/>
          <w:color w:val="31849B" w:themeColor="accent5" w:themeShade="BF"/>
          <w:u w:color="377395"/>
          <w:lang w:val="es-ES"/>
        </w:rPr>
      </w:pPr>
      <w:r w:rsidRPr="00007DE2">
        <w:rPr>
          <w:rStyle w:val="Ninguno"/>
          <w:rFonts w:ascii="Arial Black" w:hAnsi="Arial Black"/>
          <w:color w:val="31849B" w:themeColor="accent5" w:themeShade="BF"/>
          <w:u w:color="377395"/>
          <w:lang w:val="es-ES"/>
        </w:rPr>
        <w:t xml:space="preserve">Propuestas de futuro  </w:t>
      </w:r>
    </w:p>
    <w:p w:rsidR="000E73CE" w:rsidRDefault="000E73CE">
      <w:pPr>
        <w:pStyle w:val="Cuerpo"/>
        <w:shd w:val="clear" w:color="auto" w:fill="FFFFFF"/>
        <w:jc w:val="both"/>
        <w:rPr>
          <w:rStyle w:val="Ninguno"/>
          <w:rFonts w:ascii="Arial Black" w:hAnsi="Arial Black"/>
          <w:color w:val="008080"/>
          <w:u w:color="377395"/>
          <w:lang w:val="es-ES"/>
        </w:rPr>
      </w:pPr>
    </w:p>
    <w:p w:rsidR="000E73CE" w:rsidRDefault="00A435BD">
      <w:pPr>
        <w:pStyle w:val="Cuerpo"/>
        <w:shd w:val="clear" w:color="auto" w:fill="FFFFFF"/>
        <w:jc w:val="both"/>
        <w:rPr>
          <w:rStyle w:val="Ninguno"/>
          <w:color w:val="auto"/>
          <w:u w:color="377395"/>
          <w:lang w:val="es-ES"/>
        </w:rPr>
      </w:pPr>
      <w:r>
        <w:rPr>
          <w:rStyle w:val="Ninguno"/>
          <w:color w:val="auto"/>
          <w:u w:color="377395"/>
          <w:lang w:val="es-ES"/>
        </w:rPr>
        <w:t>A pesar de la extensión de la receta electrónica</w:t>
      </w:r>
      <w:r w:rsidR="00C75F1D">
        <w:rPr>
          <w:rStyle w:val="Ninguno"/>
          <w:color w:val="auto"/>
          <w:u w:color="377395"/>
          <w:lang w:val="es-ES"/>
        </w:rPr>
        <w:t>,</w:t>
      </w:r>
      <w:r>
        <w:rPr>
          <w:rStyle w:val="Ninguno"/>
          <w:color w:val="auto"/>
          <w:u w:color="377395"/>
          <w:lang w:val="es-ES"/>
        </w:rPr>
        <w:t xml:space="preserve"> y la validación que impone la Directiva sobre medicamentos falsificados y la aplicación de sus Actos Delegados, no es probable que la facturación salga del ámbito de los Colegios de Farmacéuticos y que se regule mediante Conciertos</w:t>
      </w:r>
      <w:r w:rsidR="000C4266">
        <w:rPr>
          <w:rStyle w:val="Ninguno"/>
          <w:color w:val="auto"/>
          <w:u w:color="377395"/>
          <w:lang w:val="es-ES"/>
        </w:rPr>
        <w:t xml:space="preserve"> distintos de los actuales</w:t>
      </w:r>
      <w:r>
        <w:rPr>
          <w:rStyle w:val="Ninguno"/>
          <w:color w:val="auto"/>
          <w:u w:color="377395"/>
          <w:lang w:val="es-ES"/>
        </w:rPr>
        <w:t xml:space="preserve">. Lo que </w:t>
      </w:r>
      <w:r w:rsidR="00C75F1D">
        <w:rPr>
          <w:rStyle w:val="Ninguno"/>
          <w:color w:val="auto"/>
          <w:u w:color="377395"/>
          <w:lang w:val="es-ES"/>
        </w:rPr>
        <w:t>sí</w:t>
      </w:r>
      <w:r>
        <w:rPr>
          <w:rStyle w:val="Ninguno"/>
          <w:color w:val="auto"/>
          <w:u w:color="377395"/>
          <w:lang w:val="es-ES"/>
        </w:rPr>
        <w:t xml:space="preserve"> es posible en este momento es mejorar la financiación para el pago de las facturas muy ligado a la propia financiación de las Comunidades Autónomas.</w:t>
      </w:r>
    </w:p>
    <w:p w:rsidR="00A435BD" w:rsidRDefault="00A435BD">
      <w:pPr>
        <w:pStyle w:val="Cuerpo"/>
        <w:shd w:val="clear" w:color="auto" w:fill="FFFFFF"/>
        <w:jc w:val="both"/>
        <w:rPr>
          <w:rStyle w:val="Ninguno"/>
          <w:color w:val="auto"/>
          <w:u w:color="377395"/>
          <w:lang w:val="es-ES"/>
        </w:rPr>
      </w:pPr>
    </w:p>
    <w:p w:rsidR="00C75F1D" w:rsidRDefault="00A435BD">
      <w:pPr>
        <w:pStyle w:val="Cuerpo"/>
        <w:shd w:val="clear" w:color="auto" w:fill="FFFFFF"/>
        <w:jc w:val="both"/>
        <w:rPr>
          <w:rStyle w:val="Ninguno"/>
          <w:color w:val="auto"/>
          <w:u w:color="377395"/>
          <w:lang w:val="es-ES"/>
        </w:rPr>
      </w:pPr>
      <w:r>
        <w:rPr>
          <w:rStyle w:val="Ninguno"/>
          <w:color w:val="auto"/>
          <w:u w:color="377395"/>
          <w:lang w:val="es-ES"/>
        </w:rPr>
        <w:t xml:space="preserve">El nivel de calidad de los pagadores y la práctica ausencia de errores de facturación, así como la sistemática del tratamiento de la devolución de recetas, un hecho prácticamente anecdótico en receta electrónica, que además tiene su propio mecanismo de compensación en la siguiente factura, hacen de las recetas facturadas un activo de mucha calidad para abordar su financiación en el mercado de capitales, acortando los plazos de cobro (por ejemplo a 2 días después de emitida la factura por el Colegio) y con unos tipos de interés </w:t>
      </w:r>
      <w:r w:rsidR="00A25F63">
        <w:rPr>
          <w:rStyle w:val="Ninguno"/>
          <w:color w:val="auto"/>
          <w:u w:color="377395"/>
          <w:lang w:val="es-ES"/>
        </w:rPr>
        <w:t>muy distanciados de los que actualmente ofrece el sistema bancario.</w:t>
      </w:r>
      <w:r w:rsidR="000C4266">
        <w:rPr>
          <w:rStyle w:val="Ninguno"/>
          <w:color w:val="auto"/>
          <w:u w:color="377395"/>
          <w:lang w:val="es-ES"/>
        </w:rPr>
        <w:t xml:space="preserve"> </w:t>
      </w:r>
    </w:p>
    <w:p w:rsidR="00C75F1D" w:rsidRDefault="00C75F1D">
      <w:pPr>
        <w:pStyle w:val="Cuerpo"/>
        <w:shd w:val="clear" w:color="auto" w:fill="FFFFFF"/>
        <w:jc w:val="both"/>
        <w:rPr>
          <w:rStyle w:val="Ninguno"/>
          <w:color w:val="auto"/>
          <w:u w:color="377395"/>
          <w:lang w:val="es-ES"/>
        </w:rPr>
      </w:pPr>
    </w:p>
    <w:p w:rsidR="00A435BD" w:rsidRDefault="000C4266">
      <w:pPr>
        <w:pStyle w:val="Cuerpo"/>
        <w:shd w:val="clear" w:color="auto" w:fill="FFFFFF"/>
        <w:jc w:val="both"/>
        <w:rPr>
          <w:rStyle w:val="Ninguno"/>
          <w:color w:val="auto"/>
          <w:u w:color="377395"/>
          <w:lang w:val="es-ES"/>
        </w:rPr>
      </w:pPr>
      <w:r>
        <w:rPr>
          <w:rStyle w:val="Ninguno"/>
          <w:color w:val="auto"/>
          <w:u w:color="377395"/>
          <w:lang w:val="es-ES"/>
        </w:rPr>
        <w:t xml:space="preserve">La recurrencia y seguridad jurídica de estas facturaciones </w:t>
      </w:r>
      <w:r w:rsidR="00C75F1D">
        <w:rPr>
          <w:rStyle w:val="Ninguno"/>
          <w:color w:val="auto"/>
          <w:u w:color="377395"/>
          <w:lang w:val="es-ES"/>
        </w:rPr>
        <w:t>ha hecho que sea un derecho muy aceptado como garantía por los acreedores bancarios, a igual nivel que las carteras de acciones, o que haya sido objeto de embargo en situaciones de incumplimiento de las obligaciones del farmacéutico (por ejemplo con Hacienda y la Seguridad Social).</w:t>
      </w:r>
    </w:p>
    <w:p w:rsidR="00A25F63" w:rsidRDefault="00A25F63">
      <w:pPr>
        <w:pStyle w:val="Cuerpo"/>
        <w:shd w:val="clear" w:color="auto" w:fill="FFFFFF"/>
        <w:jc w:val="both"/>
        <w:rPr>
          <w:rStyle w:val="Ninguno"/>
          <w:color w:val="auto"/>
          <w:u w:color="377395"/>
          <w:lang w:val="es-ES"/>
        </w:rPr>
      </w:pPr>
    </w:p>
    <w:p w:rsidR="00A25F63" w:rsidRPr="00A25F63" w:rsidRDefault="00A25F63">
      <w:pPr>
        <w:pStyle w:val="Cuerpo"/>
        <w:shd w:val="clear" w:color="auto" w:fill="FFFFFF"/>
        <w:jc w:val="both"/>
        <w:rPr>
          <w:rStyle w:val="Ninguno"/>
          <w:b/>
          <w:color w:val="auto"/>
          <w:u w:color="377395"/>
          <w:lang w:val="es-ES"/>
        </w:rPr>
      </w:pPr>
      <w:r w:rsidRPr="00A25F63">
        <w:rPr>
          <w:rStyle w:val="Ninguno"/>
          <w:b/>
          <w:color w:val="auto"/>
          <w:u w:color="377395"/>
          <w:lang w:val="es-ES"/>
        </w:rPr>
        <w:t>Con estas características es muy probable que el problema de la financiación del pago a las farmacias pueda resolverse en el futuro, sin afectar a los Conciertos y a la facturación que realizan los Colegios.</w:t>
      </w:r>
    </w:p>
    <w:p w:rsidR="000E73CE" w:rsidRDefault="000E73CE">
      <w:pPr>
        <w:pStyle w:val="Cuerpo"/>
        <w:shd w:val="clear" w:color="auto" w:fill="FFFFFF"/>
        <w:jc w:val="both"/>
        <w:rPr>
          <w:rStyle w:val="Ninguno"/>
          <w:rFonts w:ascii="Arial Black" w:hAnsi="Arial Black"/>
          <w:color w:val="008080"/>
          <w:u w:color="377395"/>
          <w:lang w:val="es-ES"/>
        </w:rPr>
      </w:pPr>
    </w:p>
    <w:p w:rsidR="000E73CE" w:rsidRDefault="0007321A">
      <w:pPr>
        <w:pStyle w:val="Cuerpo"/>
        <w:shd w:val="clear" w:color="auto" w:fill="FFFFFF"/>
        <w:jc w:val="both"/>
        <w:rPr>
          <w:rStyle w:val="Ninguno"/>
          <w:rFonts w:ascii="Arial Black" w:hAnsi="Arial Black"/>
          <w:color w:val="008080"/>
          <w:u w:color="377395"/>
          <w:lang w:val="es-ES"/>
        </w:rPr>
      </w:pPr>
      <w:r>
        <w:rPr>
          <w:rStyle w:val="Ninguno"/>
          <w:rFonts w:ascii="Arial Black" w:hAnsi="Arial Black"/>
          <w:color w:val="008080"/>
          <w:u w:color="377395"/>
          <w:lang w:val="es-ES"/>
        </w:rPr>
        <w:lastRenderedPageBreak/>
        <w:t>Un estudio de la Patronal FEFGA apunta a una mayor precarización de las farmacias gallegas.</w:t>
      </w:r>
    </w:p>
    <w:p w:rsidR="0007321A" w:rsidRDefault="0007321A">
      <w:pPr>
        <w:pStyle w:val="Cuerpo"/>
        <w:shd w:val="clear" w:color="auto" w:fill="FFFFFF"/>
        <w:jc w:val="both"/>
        <w:rPr>
          <w:rStyle w:val="Ninguno"/>
          <w:rFonts w:ascii="Arial Black" w:hAnsi="Arial Black"/>
          <w:color w:val="008080"/>
          <w:u w:color="377395"/>
          <w:lang w:val="es-ES"/>
        </w:rPr>
      </w:pPr>
    </w:p>
    <w:p w:rsidR="000E73CE" w:rsidRDefault="0007321A">
      <w:pPr>
        <w:pStyle w:val="Cuerpo"/>
        <w:shd w:val="clear" w:color="auto" w:fill="FFFFFF"/>
        <w:jc w:val="both"/>
        <w:rPr>
          <w:noProof/>
          <w:color w:val="auto"/>
          <w:u w:color="377395"/>
        </w:rPr>
      </w:pPr>
      <w:r>
        <w:rPr>
          <w:rStyle w:val="Ninguno"/>
          <w:color w:val="auto"/>
          <w:u w:color="377395"/>
          <w:lang w:val="es-ES"/>
        </w:rPr>
        <w:t>El proyecto de Decreto de la Xunta de Galicia por el que se fija la delimitación territorial para la ubicación de nuevas oficinas de farmacia, conforme a módulos de población y se aprueba el mapa farmacéutico, está siendo estudiado en cuanto a sus consecuencias económicas por la Patronal FEFGA.</w:t>
      </w:r>
      <w:r w:rsidR="00491603">
        <w:rPr>
          <w:rStyle w:val="Ninguno"/>
          <w:color w:val="auto"/>
          <w:u w:color="377395"/>
          <w:lang w:val="es-ES"/>
        </w:rPr>
        <w:t xml:space="preserve"> </w:t>
      </w:r>
      <w:r w:rsidRPr="00491603">
        <w:rPr>
          <w:b/>
          <w:noProof/>
          <w:color w:val="auto"/>
          <w:u w:color="377395"/>
        </w:rPr>
        <w:t>Las primeras conclusiones de este estudio apuntan a que se van a duplicar el número de farmacias que perciben</w:t>
      </w:r>
      <w:r w:rsidR="00405357" w:rsidRPr="00491603">
        <w:rPr>
          <w:b/>
          <w:noProof/>
          <w:color w:val="auto"/>
          <w:u w:color="377395"/>
        </w:rPr>
        <w:t xml:space="preserve"> las</w:t>
      </w:r>
      <w:r w:rsidRPr="00491603">
        <w:rPr>
          <w:b/>
          <w:noProof/>
          <w:color w:val="auto"/>
          <w:u w:color="377395"/>
        </w:rPr>
        <w:t xml:space="preserve"> </w:t>
      </w:r>
      <w:r w:rsidR="00405357" w:rsidRPr="00491603">
        <w:rPr>
          <w:b/>
          <w:noProof/>
          <w:color w:val="auto"/>
          <w:u w:color="377395"/>
        </w:rPr>
        <w:t>subvenciones encuadradas en el llamado “indice corrector del margen”</w:t>
      </w:r>
      <w:r w:rsidR="00405357">
        <w:rPr>
          <w:noProof/>
          <w:color w:val="auto"/>
          <w:u w:color="377395"/>
        </w:rPr>
        <w:t>, tanto por las nuevas ubicaciones en poblaciones inferiores a 1.000 habitantes, como por el efecto de dilución de ingresos en las existentes</w:t>
      </w:r>
      <w:r w:rsidR="00430449">
        <w:rPr>
          <w:noProof/>
          <w:color w:val="auto"/>
          <w:u w:color="377395"/>
        </w:rPr>
        <w:t xml:space="preserve"> antes de las nuevas aperturas</w:t>
      </w:r>
      <w:r w:rsidR="00405357">
        <w:rPr>
          <w:noProof/>
          <w:color w:val="auto"/>
          <w:u w:color="377395"/>
        </w:rPr>
        <w:t>.</w:t>
      </w:r>
    </w:p>
    <w:p w:rsidR="00405357" w:rsidRDefault="00405357">
      <w:pPr>
        <w:pStyle w:val="Cuerpo"/>
        <w:shd w:val="clear" w:color="auto" w:fill="FFFFFF"/>
        <w:jc w:val="both"/>
        <w:rPr>
          <w:noProof/>
          <w:color w:val="auto"/>
          <w:u w:color="377395"/>
        </w:rPr>
      </w:pPr>
    </w:p>
    <w:p w:rsidR="00093388" w:rsidRDefault="00405357">
      <w:pPr>
        <w:pStyle w:val="Cuerpo"/>
        <w:shd w:val="clear" w:color="auto" w:fill="FFFFFF"/>
        <w:jc w:val="both"/>
        <w:rPr>
          <w:noProof/>
          <w:color w:val="auto"/>
          <w:u w:color="377395"/>
        </w:rPr>
      </w:pPr>
      <w:r>
        <w:rPr>
          <w:noProof/>
          <w:color w:val="auto"/>
          <w:u w:color="377395"/>
        </w:rPr>
        <w:t xml:space="preserve">Actualmente en Galicia hay 1.345 farmacias de las que están en La Coruña 549, en Lugo 183, en Orense 185 y en Pontevedra 428. Las farmacias que se encuentran fuera de las capitales son el </w:t>
      </w:r>
      <w:r w:rsidR="00093388">
        <w:rPr>
          <w:noProof/>
          <w:color w:val="auto"/>
          <w:u w:color="377395"/>
        </w:rPr>
        <w:t>79 % una cantidad muy superior a la media nacional que es del 64,2%.</w:t>
      </w:r>
      <w:r w:rsidR="00491603">
        <w:rPr>
          <w:noProof/>
          <w:color w:val="auto"/>
          <w:u w:color="377395"/>
        </w:rPr>
        <w:t xml:space="preserve"> </w:t>
      </w:r>
      <w:r w:rsidR="00093388">
        <w:rPr>
          <w:noProof/>
          <w:color w:val="auto"/>
          <w:u w:color="377395"/>
        </w:rPr>
        <w:t>La Ley 4/1999</w:t>
      </w:r>
      <w:r w:rsidR="00491603">
        <w:rPr>
          <w:noProof/>
          <w:color w:val="auto"/>
          <w:u w:color="377395"/>
        </w:rPr>
        <w:t>,</w:t>
      </w:r>
      <w:r w:rsidR="00093388">
        <w:rPr>
          <w:noProof/>
          <w:color w:val="auto"/>
          <w:u w:color="377395"/>
        </w:rPr>
        <w:t xml:space="preserve"> modificad</w:t>
      </w:r>
      <w:r w:rsidR="00491603">
        <w:rPr>
          <w:noProof/>
          <w:color w:val="auto"/>
          <w:u w:color="377395"/>
        </w:rPr>
        <w:t>a</w:t>
      </w:r>
      <w:r w:rsidR="00093388">
        <w:rPr>
          <w:noProof/>
          <w:color w:val="auto"/>
          <w:u w:color="377395"/>
        </w:rPr>
        <w:t xml:space="preserve"> por la Ley 4/2005</w:t>
      </w:r>
      <w:r w:rsidR="00491603">
        <w:rPr>
          <w:noProof/>
          <w:color w:val="auto"/>
          <w:u w:color="377395"/>
        </w:rPr>
        <w:t>,</w:t>
      </w:r>
      <w:r w:rsidR="00093388">
        <w:rPr>
          <w:noProof/>
          <w:color w:val="auto"/>
          <w:u w:color="377395"/>
        </w:rPr>
        <w:t xml:space="preserve"> que regulan la Ordenación Farmacéutica de Galicia permiten el establecimiento de nuevas farmacias adicionales con un </w:t>
      </w:r>
      <w:r w:rsidR="00093388" w:rsidRPr="00491603">
        <w:rPr>
          <w:b/>
          <w:noProof/>
          <w:color w:val="auto"/>
          <w:u w:color="377395"/>
        </w:rPr>
        <w:t xml:space="preserve">módulo de 1.500 habitantes, una proporción que aboca necesariamente a la precarización de todas las farmacias existentes en el municipio donde </w:t>
      </w:r>
      <w:r w:rsidR="00193904" w:rsidRPr="00491603">
        <w:rPr>
          <w:b/>
          <w:noProof/>
          <w:color w:val="auto"/>
          <w:u w:color="377395"/>
        </w:rPr>
        <w:t>se instale la nueva farmacia.</w:t>
      </w:r>
      <w:r w:rsidR="00193904">
        <w:rPr>
          <w:noProof/>
          <w:color w:val="auto"/>
          <w:u w:color="377395"/>
        </w:rPr>
        <w:t xml:space="preserve"> La consecuencia es en primer lugar la aparición de nuevas farmacias a las que habrá que subvencionar por el llamado “indice corrector del margen” y, en segundo lugar, la disminución generalizada de ventas de todas las farmacias que se encuentren en su radio de influencia lo que se traduce en menores deducciones y descuentos al Sistema Nacional de Salud.</w:t>
      </w:r>
    </w:p>
    <w:p w:rsidR="00193904" w:rsidRDefault="00193904">
      <w:pPr>
        <w:pStyle w:val="Cuerpo"/>
        <w:shd w:val="clear" w:color="auto" w:fill="FFFFFF"/>
        <w:jc w:val="both"/>
        <w:rPr>
          <w:noProof/>
          <w:color w:val="auto"/>
          <w:u w:color="377395"/>
        </w:rPr>
      </w:pPr>
    </w:p>
    <w:p w:rsidR="00BE5F40" w:rsidRPr="00491603" w:rsidRDefault="00430449">
      <w:pPr>
        <w:pStyle w:val="Cuerpo"/>
        <w:shd w:val="clear" w:color="auto" w:fill="FFFFFF"/>
        <w:jc w:val="both"/>
        <w:rPr>
          <w:rStyle w:val="Ninguno"/>
          <w:b/>
          <w:color w:val="auto"/>
          <w:u w:color="377395"/>
          <w:lang w:val="es-ES"/>
        </w:rPr>
      </w:pPr>
      <w:r>
        <w:rPr>
          <w:rStyle w:val="Ninguno"/>
          <w:color w:val="auto"/>
          <w:u w:color="377395"/>
          <w:lang w:val="es-ES"/>
        </w:rPr>
        <w:t>Las 41 farmacias de nueva apertura suponen un incremento del 3% de las farmacias existentes y una disminución de las deducciones y descuentos superior al 3% al afectar a otras muchas farmacias. Actualmente la Xunta de Galicia percibe</w:t>
      </w:r>
      <w:r w:rsidR="00BE5F40">
        <w:rPr>
          <w:rStyle w:val="Ninguno"/>
          <w:color w:val="auto"/>
          <w:u w:color="377395"/>
          <w:lang w:val="es-ES"/>
        </w:rPr>
        <w:t xml:space="preserve"> anualmente</w:t>
      </w:r>
      <w:r>
        <w:rPr>
          <w:rStyle w:val="Ninguno"/>
          <w:color w:val="auto"/>
          <w:u w:color="377395"/>
          <w:lang w:val="es-ES"/>
        </w:rPr>
        <w:t xml:space="preserve"> de las farmacias </w:t>
      </w:r>
      <w:r w:rsidR="00BE5F40">
        <w:rPr>
          <w:rStyle w:val="Ninguno"/>
          <w:color w:val="auto"/>
          <w:u w:color="377395"/>
          <w:lang w:val="es-ES"/>
        </w:rPr>
        <w:t xml:space="preserve">una cantidad próxima a los 35 millones de euros por los descuentos que impusieron los Reales Decreto Leyes promulgados desde el año 2000. </w:t>
      </w:r>
      <w:r w:rsidR="00BE5F40" w:rsidRPr="00491603">
        <w:rPr>
          <w:rStyle w:val="Ninguno"/>
          <w:b/>
          <w:color w:val="auto"/>
          <w:u w:color="377395"/>
          <w:lang w:val="es-ES"/>
        </w:rPr>
        <w:t xml:space="preserve">Esta cantidad se vería reducida en casi 4 millones de euros por la reducción de las ventas individuales tras la apertura de nuevas farmacias. </w:t>
      </w:r>
    </w:p>
    <w:p w:rsidR="00BE5F40" w:rsidRDefault="00BE5F40">
      <w:pPr>
        <w:pStyle w:val="Cuerpo"/>
        <w:shd w:val="clear" w:color="auto" w:fill="FFFFFF"/>
        <w:jc w:val="both"/>
        <w:rPr>
          <w:rStyle w:val="Ninguno"/>
          <w:color w:val="auto"/>
          <w:u w:color="377395"/>
          <w:lang w:val="es-ES"/>
        </w:rPr>
      </w:pPr>
    </w:p>
    <w:p w:rsidR="00193904" w:rsidRPr="00491603" w:rsidRDefault="00BE5F40">
      <w:pPr>
        <w:pStyle w:val="Cuerpo"/>
        <w:shd w:val="clear" w:color="auto" w:fill="FFFFFF"/>
        <w:jc w:val="both"/>
        <w:rPr>
          <w:rStyle w:val="Ninguno"/>
          <w:b/>
          <w:color w:val="auto"/>
          <w:u w:color="377395"/>
          <w:lang w:val="es-ES"/>
        </w:rPr>
      </w:pPr>
      <w:r>
        <w:rPr>
          <w:rStyle w:val="Ninguno"/>
          <w:color w:val="auto"/>
          <w:u w:color="377395"/>
          <w:lang w:val="es-ES"/>
        </w:rPr>
        <w:t xml:space="preserve">Como conclusión puede afirmarse que la apertura de nuevas farmacias en la Comunidad Gallega </w:t>
      </w:r>
      <w:r w:rsidRPr="00491603">
        <w:rPr>
          <w:rStyle w:val="Ninguno"/>
          <w:color w:val="auto"/>
          <w:u w:color="377395"/>
          <w:lang w:val="es-ES"/>
        </w:rPr>
        <w:t>debería someterse no solo a los parámetros estrictos de Ley actual, que debería modificarse hacia parámetros de viabilidad, sino confrontarse con la realidad económica actual en que las farmacias han perdido un 20% del mercado desde el año 2009</w:t>
      </w:r>
      <w:r w:rsidR="00491603" w:rsidRPr="00491603">
        <w:rPr>
          <w:rStyle w:val="Ninguno"/>
          <w:color w:val="auto"/>
          <w:u w:color="377395"/>
          <w:lang w:val="es-ES"/>
        </w:rPr>
        <w:t>,</w:t>
      </w:r>
      <w:r w:rsidRPr="00491603">
        <w:rPr>
          <w:rStyle w:val="Ninguno"/>
          <w:color w:val="auto"/>
          <w:u w:color="377395"/>
          <w:lang w:val="es-ES"/>
        </w:rPr>
        <w:t xml:space="preserve"> y son previsibles nuevas disminuciones de población tal como viene indicando el Instituto Nacional de Estadística. </w:t>
      </w:r>
      <w:r w:rsidRPr="00491603">
        <w:rPr>
          <w:rStyle w:val="Ninguno"/>
          <w:b/>
          <w:color w:val="auto"/>
          <w:u w:color="377395"/>
          <w:lang w:val="es-ES"/>
        </w:rPr>
        <w:t xml:space="preserve">Una mejor regulación de las oficinas de farmacia, no solo en Galicia, sino en el resto del Estado debería adoptar un módulo de población de 2.500 habitantes para nuevas aperturas, facilitar los traslados previos y </w:t>
      </w:r>
      <w:r w:rsidR="00491603" w:rsidRPr="00491603">
        <w:rPr>
          <w:rStyle w:val="Ninguno"/>
          <w:b/>
          <w:color w:val="auto"/>
          <w:u w:color="377395"/>
          <w:lang w:val="es-ES"/>
        </w:rPr>
        <w:t>potenciar la instalación de botiquines en zonas rurales.</w:t>
      </w:r>
      <w:r w:rsidRPr="00491603">
        <w:rPr>
          <w:rStyle w:val="Ninguno"/>
          <w:b/>
          <w:color w:val="auto"/>
          <w:u w:color="377395"/>
          <w:lang w:val="es-ES"/>
        </w:rPr>
        <w:t xml:space="preserve"> </w:t>
      </w:r>
    </w:p>
    <w:p w:rsidR="000E73CE" w:rsidRDefault="000E73CE">
      <w:pPr>
        <w:pStyle w:val="Cuerpo"/>
        <w:shd w:val="clear" w:color="auto" w:fill="FFFFFF"/>
        <w:jc w:val="both"/>
        <w:rPr>
          <w:rStyle w:val="Ninguno"/>
          <w:rFonts w:ascii="Arial Black" w:hAnsi="Arial Black"/>
          <w:color w:val="008080"/>
          <w:u w:color="377395"/>
          <w:lang w:val="es-ES"/>
        </w:rPr>
      </w:pPr>
    </w:p>
    <w:p w:rsidR="007F59ED" w:rsidRPr="00DC0318" w:rsidRDefault="00063C1D">
      <w:pPr>
        <w:pStyle w:val="Cuerpo"/>
        <w:shd w:val="clear" w:color="auto" w:fill="FFFFFF"/>
        <w:jc w:val="both"/>
        <w:rPr>
          <w:rStyle w:val="Ninguno"/>
          <w:color w:val="008080"/>
        </w:rPr>
      </w:pPr>
      <w:r w:rsidRPr="00DC0318">
        <w:rPr>
          <w:rStyle w:val="Ninguno"/>
          <w:rFonts w:ascii="Arial Black" w:hAnsi="Arial Black"/>
          <w:color w:val="008080"/>
          <w:u w:color="377395"/>
          <w:lang w:val="es-ES"/>
        </w:rPr>
        <w:lastRenderedPageBreak/>
        <w:t>Pronó</w:t>
      </w:r>
      <w:r w:rsidRPr="00DC0318">
        <w:rPr>
          <w:rStyle w:val="Ninguno"/>
          <w:rFonts w:ascii="Arial Black" w:hAnsi="Arial Black"/>
          <w:color w:val="008080"/>
          <w:u w:color="377395"/>
          <w:lang w:val="it-IT"/>
        </w:rPr>
        <w:t xml:space="preserve">stico: </w:t>
      </w:r>
    </w:p>
    <w:p w:rsidR="007F59ED" w:rsidRDefault="007F59ED">
      <w:pPr>
        <w:pStyle w:val="Cuerpo"/>
        <w:jc w:val="both"/>
        <w:rPr>
          <w:rStyle w:val="Ninguno"/>
          <w:color w:val="008080"/>
          <w:sz w:val="18"/>
          <w:szCs w:val="18"/>
          <w:u w:color="008080"/>
        </w:rPr>
      </w:pPr>
    </w:p>
    <w:p w:rsidR="007F59ED" w:rsidRDefault="00063C1D">
      <w:pPr>
        <w:pStyle w:val="Cuerpo"/>
        <w:jc w:val="both"/>
        <w:rPr>
          <w:rStyle w:val="Ninguno"/>
          <w:b/>
          <w:bCs/>
          <w:sz w:val="22"/>
          <w:szCs w:val="22"/>
        </w:rPr>
      </w:pPr>
      <w:r>
        <w:rPr>
          <w:rStyle w:val="Ninguno"/>
          <w:sz w:val="22"/>
          <w:szCs w:val="22"/>
        </w:rPr>
        <w:t xml:space="preserve">Los datos de consumo de medicamentos en el mes de </w:t>
      </w:r>
      <w:r w:rsidR="00D26323">
        <w:rPr>
          <w:rStyle w:val="Ninguno"/>
          <w:sz w:val="22"/>
          <w:szCs w:val="22"/>
        </w:rPr>
        <w:t>Abril</w:t>
      </w:r>
      <w:r>
        <w:rPr>
          <w:rStyle w:val="Ninguno"/>
          <w:sz w:val="22"/>
          <w:szCs w:val="22"/>
        </w:rPr>
        <w:t xml:space="preserve"> de 2017, ponen de manifiesto que, </w:t>
      </w:r>
      <w:r w:rsidR="008B0CBC">
        <w:rPr>
          <w:rStyle w:val="Ninguno"/>
          <w:sz w:val="22"/>
          <w:szCs w:val="22"/>
        </w:rPr>
        <w:t>el mercado</w:t>
      </w:r>
      <w:r w:rsidR="00491603">
        <w:rPr>
          <w:rStyle w:val="Ninguno"/>
          <w:sz w:val="22"/>
          <w:szCs w:val="22"/>
        </w:rPr>
        <w:t xml:space="preserve"> crece en el primer </w:t>
      </w:r>
      <w:r w:rsidR="00304940">
        <w:rPr>
          <w:rStyle w:val="Ninguno"/>
          <w:sz w:val="22"/>
          <w:szCs w:val="22"/>
        </w:rPr>
        <w:t>cua</w:t>
      </w:r>
      <w:r w:rsidR="00491603">
        <w:rPr>
          <w:rStyle w:val="Ninguno"/>
          <w:sz w:val="22"/>
          <w:szCs w:val="22"/>
        </w:rPr>
        <w:t>trimestre en una proporción inferior al año precedente</w:t>
      </w:r>
      <w:r w:rsidR="008B0CBC">
        <w:rPr>
          <w:rStyle w:val="Ninguno"/>
          <w:sz w:val="22"/>
          <w:szCs w:val="22"/>
        </w:rPr>
        <w:t>.</w:t>
      </w:r>
      <w:r>
        <w:rPr>
          <w:rStyle w:val="Ninguno"/>
          <w:sz w:val="22"/>
          <w:szCs w:val="22"/>
        </w:rPr>
        <w:t xml:space="preserve"> </w:t>
      </w:r>
      <w:r w:rsidR="00491603">
        <w:rPr>
          <w:rStyle w:val="Ninguno"/>
          <w:sz w:val="22"/>
          <w:szCs w:val="22"/>
        </w:rPr>
        <w:t xml:space="preserve">Aunque </w:t>
      </w:r>
      <w:r>
        <w:rPr>
          <w:rStyle w:val="Ninguno"/>
          <w:sz w:val="22"/>
          <w:szCs w:val="22"/>
        </w:rPr>
        <w:t xml:space="preserve">el mercado aumenta en </w:t>
      </w:r>
      <w:r>
        <w:rPr>
          <w:rStyle w:val="Ninguno"/>
          <w:b/>
          <w:bCs/>
          <w:sz w:val="22"/>
          <w:szCs w:val="22"/>
        </w:rPr>
        <w:t>t</w:t>
      </w:r>
      <w:r>
        <w:rPr>
          <w:rStyle w:val="Ninguno"/>
          <w:b/>
          <w:bCs/>
          <w:sz w:val="22"/>
          <w:szCs w:val="22"/>
          <w:lang w:val="fr-FR"/>
        </w:rPr>
        <w:t>é</w:t>
      </w:r>
      <w:r>
        <w:rPr>
          <w:rStyle w:val="Ninguno"/>
          <w:b/>
          <w:bCs/>
          <w:sz w:val="22"/>
          <w:szCs w:val="22"/>
        </w:rPr>
        <w:t>rminos anuales y</w:t>
      </w:r>
      <w:r w:rsidR="00304940">
        <w:rPr>
          <w:rStyle w:val="Ninguno"/>
          <w:b/>
          <w:bCs/>
          <w:sz w:val="22"/>
          <w:szCs w:val="22"/>
        </w:rPr>
        <w:t xml:space="preserve">a que </w:t>
      </w:r>
      <w:r>
        <w:rPr>
          <w:rStyle w:val="Ninguno"/>
          <w:b/>
          <w:bCs/>
          <w:sz w:val="22"/>
          <w:szCs w:val="22"/>
        </w:rPr>
        <w:t xml:space="preserve"> alcanza este mes los </w:t>
      </w:r>
      <w:r w:rsidR="00491603">
        <w:rPr>
          <w:rStyle w:val="Ninguno"/>
          <w:b/>
          <w:bCs/>
          <w:sz w:val="22"/>
          <w:szCs w:val="22"/>
        </w:rPr>
        <w:t>9.976</w:t>
      </w:r>
      <w:r w:rsidR="008B0CBC">
        <w:rPr>
          <w:rStyle w:val="Ninguno"/>
          <w:b/>
          <w:bCs/>
          <w:sz w:val="22"/>
          <w:szCs w:val="22"/>
        </w:rPr>
        <w:t xml:space="preserve"> </w:t>
      </w:r>
      <w:r>
        <w:rPr>
          <w:rStyle w:val="Ninguno"/>
          <w:b/>
          <w:bCs/>
          <w:sz w:val="22"/>
          <w:szCs w:val="22"/>
        </w:rPr>
        <w:t xml:space="preserve">millones de euros respecto a los doce meses anteriores, </w:t>
      </w:r>
      <w:r w:rsidR="00491603">
        <w:rPr>
          <w:rStyle w:val="Ninguno"/>
          <w:b/>
          <w:bCs/>
          <w:sz w:val="22"/>
          <w:szCs w:val="22"/>
        </w:rPr>
        <w:t xml:space="preserve">y presenta </w:t>
      </w:r>
      <w:r>
        <w:rPr>
          <w:rStyle w:val="Ninguno"/>
          <w:b/>
          <w:bCs/>
          <w:sz w:val="22"/>
          <w:szCs w:val="22"/>
        </w:rPr>
        <w:t xml:space="preserve"> un crecimiento neto de 3</w:t>
      </w:r>
      <w:r w:rsidR="00491603">
        <w:rPr>
          <w:rStyle w:val="Ninguno"/>
          <w:b/>
          <w:bCs/>
          <w:sz w:val="22"/>
          <w:szCs w:val="22"/>
        </w:rPr>
        <w:t>27</w:t>
      </w:r>
      <w:r>
        <w:rPr>
          <w:rStyle w:val="Ninguno"/>
          <w:b/>
          <w:bCs/>
          <w:sz w:val="22"/>
          <w:szCs w:val="22"/>
        </w:rPr>
        <w:t xml:space="preserve"> millones respecto al añ</w:t>
      </w:r>
      <w:r>
        <w:rPr>
          <w:rStyle w:val="Ninguno"/>
          <w:b/>
          <w:bCs/>
          <w:sz w:val="22"/>
          <w:szCs w:val="22"/>
          <w:lang w:val="pt-PT"/>
        </w:rPr>
        <w:t>o anterior</w:t>
      </w:r>
      <w:r w:rsidR="00491603">
        <w:rPr>
          <w:rStyle w:val="Ninguno"/>
          <w:b/>
          <w:bCs/>
          <w:sz w:val="22"/>
          <w:szCs w:val="22"/>
          <w:lang w:val="pt-PT"/>
        </w:rPr>
        <w:t xml:space="preserve">, este mes </w:t>
      </w:r>
      <w:r w:rsidR="00304940">
        <w:rPr>
          <w:rStyle w:val="Ninguno"/>
          <w:b/>
          <w:bCs/>
          <w:sz w:val="22"/>
          <w:szCs w:val="22"/>
          <w:lang w:val="pt-PT"/>
        </w:rPr>
        <w:t xml:space="preserve">en concreto </w:t>
      </w:r>
      <w:r w:rsidR="00491603">
        <w:rPr>
          <w:rStyle w:val="Ninguno"/>
          <w:b/>
          <w:bCs/>
          <w:sz w:val="22"/>
          <w:szCs w:val="22"/>
          <w:lang w:val="pt-PT"/>
        </w:rPr>
        <w:t>sufre un apreciable retroceso, probablemente por la celebración de la Semana Santa en Abril</w:t>
      </w:r>
      <w:r>
        <w:rPr>
          <w:rStyle w:val="Ninguno"/>
          <w:b/>
          <w:bCs/>
          <w:sz w:val="22"/>
          <w:szCs w:val="22"/>
          <w:lang w:val="pt-PT"/>
        </w:rPr>
        <w:t>.</w:t>
      </w:r>
      <w:r w:rsidR="008B0CBC">
        <w:rPr>
          <w:rStyle w:val="Ninguno"/>
          <w:b/>
          <w:bCs/>
          <w:sz w:val="22"/>
          <w:szCs w:val="22"/>
          <w:lang w:val="pt-PT"/>
        </w:rPr>
        <w:t xml:space="preserve"> </w:t>
      </w:r>
    </w:p>
    <w:p w:rsidR="007F59ED" w:rsidRPr="0064543F" w:rsidRDefault="00063C1D">
      <w:pPr>
        <w:pStyle w:val="Cuerpo"/>
        <w:jc w:val="both"/>
        <w:rPr>
          <w:rStyle w:val="Ninguno"/>
          <w:b/>
          <w:bCs/>
          <w:sz w:val="18"/>
          <w:szCs w:val="20"/>
        </w:rPr>
      </w:pPr>
      <w:r>
        <w:rPr>
          <w:rStyle w:val="Ninguno"/>
          <w:b/>
          <w:bCs/>
          <w:sz w:val="22"/>
          <w:szCs w:val="22"/>
        </w:rPr>
        <w:t xml:space="preserve"> </w:t>
      </w:r>
    </w:p>
    <w:p w:rsidR="007F59ED" w:rsidRDefault="00063C1D">
      <w:pPr>
        <w:pStyle w:val="Cuerpo"/>
        <w:jc w:val="both"/>
        <w:rPr>
          <w:rStyle w:val="Ninguno"/>
          <w:b/>
          <w:bCs/>
          <w:sz w:val="22"/>
          <w:szCs w:val="22"/>
        </w:rPr>
      </w:pPr>
      <w:r>
        <w:rPr>
          <w:rStyle w:val="Ninguno"/>
          <w:sz w:val="22"/>
          <w:szCs w:val="22"/>
        </w:rPr>
        <w:t xml:space="preserve">En este Observatorio se actualiza la evolución del consumo de recetas como indicador de la demanda, donde </w:t>
      </w:r>
      <w:r>
        <w:rPr>
          <w:rStyle w:val="Ninguno"/>
          <w:b/>
          <w:bCs/>
          <w:sz w:val="22"/>
          <w:szCs w:val="22"/>
        </w:rPr>
        <w:t>se ha producido un aumento en t</w:t>
      </w:r>
      <w:r>
        <w:rPr>
          <w:rStyle w:val="Ninguno"/>
          <w:b/>
          <w:bCs/>
          <w:sz w:val="22"/>
          <w:szCs w:val="22"/>
          <w:lang w:val="fr-FR"/>
        </w:rPr>
        <w:t>é</w:t>
      </w:r>
      <w:r>
        <w:rPr>
          <w:rStyle w:val="Ninguno"/>
          <w:b/>
          <w:bCs/>
          <w:sz w:val="22"/>
          <w:szCs w:val="22"/>
        </w:rPr>
        <w:t xml:space="preserve">rminos anuales de </w:t>
      </w:r>
      <w:r>
        <w:rPr>
          <w:rStyle w:val="Ninguno"/>
          <w:sz w:val="22"/>
          <w:szCs w:val="22"/>
        </w:rPr>
        <w:t xml:space="preserve"> </w:t>
      </w:r>
      <w:r w:rsidR="00491603" w:rsidRPr="00B176A4">
        <w:rPr>
          <w:rStyle w:val="Ninguno"/>
          <w:b/>
          <w:sz w:val="22"/>
          <w:szCs w:val="22"/>
        </w:rPr>
        <w:t>1</w:t>
      </w:r>
      <w:r w:rsidR="000F3ADB">
        <w:rPr>
          <w:rStyle w:val="Ninguno"/>
          <w:b/>
          <w:bCs/>
          <w:sz w:val="22"/>
          <w:szCs w:val="22"/>
        </w:rPr>
        <w:t>5</w:t>
      </w:r>
      <w:r w:rsidR="00491603">
        <w:rPr>
          <w:rStyle w:val="Ninguno"/>
          <w:b/>
          <w:bCs/>
          <w:sz w:val="22"/>
          <w:szCs w:val="22"/>
        </w:rPr>
        <w:t>,6</w:t>
      </w:r>
      <w:r>
        <w:rPr>
          <w:rStyle w:val="Ninguno"/>
          <w:sz w:val="22"/>
          <w:szCs w:val="22"/>
        </w:rPr>
        <w:t xml:space="preserve"> </w:t>
      </w:r>
      <w:r>
        <w:rPr>
          <w:rStyle w:val="Ninguno"/>
          <w:b/>
          <w:bCs/>
          <w:sz w:val="22"/>
          <w:szCs w:val="22"/>
        </w:rPr>
        <w:t xml:space="preserve">millones de recetas.  </w:t>
      </w:r>
      <w:r w:rsidR="00491603" w:rsidRPr="00491603">
        <w:rPr>
          <w:rStyle w:val="Ninguno"/>
          <w:bCs/>
          <w:sz w:val="22"/>
          <w:szCs w:val="22"/>
        </w:rPr>
        <w:t>Sin embargo</w:t>
      </w:r>
      <w:r w:rsidR="00491603">
        <w:rPr>
          <w:rStyle w:val="Ninguno"/>
          <w:b/>
          <w:bCs/>
          <w:sz w:val="22"/>
          <w:szCs w:val="22"/>
        </w:rPr>
        <w:t xml:space="preserve"> </w:t>
      </w:r>
      <w:r>
        <w:rPr>
          <w:rStyle w:val="Ninguno"/>
          <w:sz w:val="22"/>
          <w:szCs w:val="22"/>
        </w:rPr>
        <w:t xml:space="preserve">el gasto medio por receta aumenta en  un </w:t>
      </w:r>
      <w:r w:rsidR="00491603">
        <w:rPr>
          <w:rStyle w:val="Ninguno"/>
          <w:sz w:val="22"/>
          <w:szCs w:val="22"/>
        </w:rPr>
        <w:t>1,81</w:t>
      </w:r>
      <w:r>
        <w:rPr>
          <w:rStyle w:val="Ninguno"/>
          <w:b/>
          <w:bCs/>
          <w:sz w:val="22"/>
          <w:szCs w:val="22"/>
        </w:rPr>
        <w:t>%, sin duda porque el impacto de los nuevos precios de referencia ha resultado muy limitado.</w:t>
      </w:r>
    </w:p>
    <w:p w:rsidR="007F59ED" w:rsidRPr="0064543F" w:rsidRDefault="007F59ED">
      <w:pPr>
        <w:pStyle w:val="Cuerpo"/>
        <w:jc w:val="both"/>
        <w:rPr>
          <w:rStyle w:val="Ninguno"/>
          <w:b/>
          <w:bCs/>
          <w:sz w:val="18"/>
          <w:szCs w:val="22"/>
        </w:rPr>
      </w:pPr>
    </w:p>
    <w:p w:rsidR="007F59ED" w:rsidRDefault="00063C1D">
      <w:pPr>
        <w:pStyle w:val="Cuerpo"/>
        <w:jc w:val="both"/>
        <w:rPr>
          <w:rStyle w:val="Ninguno"/>
          <w:b/>
          <w:bCs/>
          <w:sz w:val="22"/>
          <w:szCs w:val="22"/>
        </w:rPr>
      </w:pPr>
      <w:r>
        <w:rPr>
          <w:rStyle w:val="Ninguno"/>
          <w:sz w:val="22"/>
          <w:szCs w:val="22"/>
        </w:rPr>
        <w:t xml:space="preserve">Es importante destacar que el aumento de recetas y gasto no logra recuperar los niveles del año 2009. </w:t>
      </w:r>
      <w:r>
        <w:rPr>
          <w:rStyle w:val="Ninguno"/>
          <w:b/>
          <w:bCs/>
          <w:sz w:val="22"/>
          <w:szCs w:val="22"/>
        </w:rPr>
        <w:t xml:space="preserve">Al consumo de 2017 le faltan todavía </w:t>
      </w:r>
      <w:r w:rsidR="00521678" w:rsidRPr="00AE1AD1">
        <w:rPr>
          <w:rStyle w:val="Ninguno"/>
          <w:bCs/>
        </w:rPr>
        <w:t>2.5</w:t>
      </w:r>
      <w:r w:rsidR="00521678">
        <w:rPr>
          <w:rStyle w:val="Ninguno"/>
          <w:bCs/>
        </w:rPr>
        <w:t>2</w:t>
      </w:r>
      <w:r w:rsidR="00521678" w:rsidRPr="00AE1AD1">
        <w:rPr>
          <w:rStyle w:val="Ninguno"/>
          <w:bCs/>
        </w:rPr>
        <w:t>8</w:t>
      </w:r>
      <w:r w:rsidR="00521678">
        <w:rPr>
          <w:rStyle w:val="Ninguno"/>
          <w:bCs/>
        </w:rPr>
        <w:t>,3</w:t>
      </w:r>
      <w:r w:rsidR="00521678" w:rsidRPr="00AE1AD1">
        <w:rPr>
          <w:rStyle w:val="Ninguno"/>
          <w:bCs/>
        </w:rPr>
        <w:t xml:space="preserve"> </w:t>
      </w:r>
      <w:r>
        <w:rPr>
          <w:rStyle w:val="Ninguno"/>
          <w:b/>
          <w:bCs/>
          <w:sz w:val="22"/>
          <w:szCs w:val="22"/>
        </w:rPr>
        <w:t>millones para alcanzar el que había en 2009 – un (20</w:t>
      </w:r>
      <w:r w:rsidR="00521678">
        <w:rPr>
          <w:rStyle w:val="Ninguno"/>
          <w:b/>
          <w:bCs/>
          <w:sz w:val="22"/>
          <w:szCs w:val="22"/>
        </w:rPr>
        <w:t>,3</w:t>
      </w:r>
      <w:r>
        <w:rPr>
          <w:rStyle w:val="Ninguno"/>
          <w:b/>
          <w:bCs/>
          <w:sz w:val="22"/>
          <w:szCs w:val="22"/>
        </w:rPr>
        <w:t>%) mas -, y si el aumento anual de los pró</w:t>
      </w:r>
      <w:r>
        <w:rPr>
          <w:rStyle w:val="Ninguno"/>
          <w:b/>
          <w:bCs/>
          <w:sz w:val="22"/>
          <w:szCs w:val="22"/>
          <w:lang w:val="pt-PT"/>
        </w:rPr>
        <w:t>ximos a</w:t>
      </w:r>
      <w:r>
        <w:rPr>
          <w:rStyle w:val="Ninguno"/>
          <w:b/>
          <w:bCs/>
          <w:sz w:val="22"/>
          <w:szCs w:val="22"/>
        </w:rPr>
        <w:t>ños es el mismo, el mercado de 2009 se recuperará en el año 2023, dentro de siete añ</w:t>
      </w:r>
      <w:r>
        <w:rPr>
          <w:rStyle w:val="Ninguno"/>
          <w:b/>
          <w:bCs/>
          <w:sz w:val="22"/>
          <w:szCs w:val="22"/>
          <w:lang w:val="pt-PT"/>
        </w:rPr>
        <w:t>os.</w:t>
      </w:r>
      <w:r w:rsidR="000F3ADB">
        <w:rPr>
          <w:rStyle w:val="Ninguno"/>
          <w:b/>
          <w:bCs/>
          <w:sz w:val="22"/>
          <w:szCs w:val="22"/>
          <w:lang w:val="pt-PT"/>
        </w:rPr>
        <w:t xml:space="preserve"> </w:t>
      </w:r>
      <w:r>
        <w:rPr>
          <w:rStyle w:val="Ninguno"/>
          <w:b/>
          <w:bCs/>
          <w:sz w:val="22"/>
          <w:szCs w:val="22"/>
          <w:lang w:val="pt-PT"/>
        </w:rPr>
        <w:t>Esta situaci</w:t>
      </w:r>
      <w:r>
        <w:rPr>
          <w:rStyle w:val="Ninguno"/>
          <w:b/>
          <w:bCs/>
          <w:sz w:val="22"/>
          <w:szCs w:val="22"/>
        </w:rPr>
        <w:t>ón está influyendo muy negativamente en el dispositivo asistencial farmac</w:t>
      </w:r>
      <w:r>
        <w:rPr>
          <w:rStyle w:val="Ninguno"/>
          <w:b/>
          <w:bCs/>
          <w:sz w:val="22"/>
          <w:szCs w:val="22"/>
          <w:lang w:val="fr-FR"/>
        </w:rPr>
        <w:t>é</w:t>
      </w:r>
      <w:r w:rsidRPr="00F617C4">
        <w:rPr>
          <w:rStyle w:val="Ninguno"/>
          <w:b/>
          <w:bCs/>
          <w:sz w:val="22"/>
          <w:szCs w:val="22"/>
          <w:lang w:val="es-ES"/>
        </w:rPr>
        <w:t>utico</w:t>
      </w:r>
      <w:r>
        <w:rPr>
          <w:rStyle w:val="Ninguno"/>
          <w:b/>
          <w:bCs/>
          <w:sz w:val="22"/>
          <w:szCs w:val="22"/>
        </w:rPr>
        <w:t xml:space="preserve"> que no está aprovechando la salida de la crisis, tal como ocurre en otros sectores de la economí</w:t>
      </w:r>
      <w:r>
        <w:rPr>
          <w:rStyle w:val="Ninguno"/>
          <w:b/>
          <w:bCs/>
          <w:sz w:val="22"/>
          <w:szCs w:val="22"/>
          <w:lang w:val="it-IT"/>
        </w:rPr>
        <w:t>a.</w:t>
      </w:r>
    </w:p>
    <w:p w:rsidR="007F59ED" w:rsidRPr="0064543F" w:rsidRDefault="007F59ED">
      <w:pPr>
        <w:pStyle w:val="Cuerpo"/>
        <w:jc w:val="both"/>
        <w:rPr>
          <w:rStyle w:val="Ninguno"/>
          <w:b/>
          <w:bCs/>
          <w:sz w:val="18"/>
          <w:szCs w:val="22"/>
        </w:rPr>
      </w:pPr>
    </w:p>
    <w:p w:rsidR="00521678" w:rsidRPr="0064543F" w:rsidRDefault="00521678" w:rsidP="00521678">
      <w:pPr>
        <w:pStyle w:val="Cuerpo"/>
        <w:shd w:val="clear" w:color="auto" w:fill="FFFFFF"/>
        <w:jc w:val="both"/>
        <w:rPr>
          <w:rStyle w:val="Ninguno"/>
          <w:b/>
          <w:color w:val="auto"/>
          <w:sz w:val="22"/>
          <w:u w:color="377395"/>
          <w:lang w:val="es-ES"/>
        </w:rPr>
      </w:pPr>
      <w:r>
        <w:rPr>
          <w:rStyle w:val="Ninguno"/>
          <w:b/>
          <w:bCs/>
          <w:sz w:val="22"/>
          <w:szCs w:val="22"/>
        </w:rPr>
        <w:t>En este Observatorio se ofrece la situación actual del pago de la facturación de recetas por parte de las Comunidades Autónomas que dista mucho de ser satisfactorio, lo que ha obligado a muchos Colegios</w:t>
      </w:r>
      <w:r w:rsidR="00304940">
        <w:rPr>
          <w:rStyle w:val="Ninguno"/>
          <w:b/>
          <w:bCs/>
          <w:sz w:val="22"/>
          <w:szCs w:val="22"/>
        </w:rPr>
        <w:t>,</w:t>
      </w:r>
      <w:r>
        <w:rPr>
          <w:rStyle w:val="Ninguno"/>
          <w:b/>
          <w:bCs/>
          <w:sz w:val="22"/>
          <w:szCs w:val="22"/>
        </w:rPr>
        <w:t xml:space="preserve"> y también a farmacéuticos de forma individual</w:t>
      </w:r>
      <w:r w:rsidR="00304940">
        <w:rPr>
          <w:rStyle w:val="Ninguno"/>
          <w:b/>
          <w:bCs/>
          <w:sz w:val="22"/>
          <w:szCs w:val="22"/>
        </w:rPr>
        <w:t>,</w:t>
      </w:r>
      <w:r>
        <w:rPr>
          <w:rStyle w:val="Ninguno"/>
          <w:b/>
          <w:bCs/>
          <w:sz w:val="22"/>
          <w:szCs w:val="22"/>
        </w:rPr>
        <w:t xml:space="preserve"> a dotarse de financiación, para poder afrontar el pago a los proveedores. </w:t>
      </w:r>
      <w:r w:rsidRPr="00521678">
        <w:rPr>
          <w:rStyle w:val="Ninguno"/>
          <w:bCs/>
          <w:sz w:val="22"/>
          <w:szCs w:val="22"/>
        </w:rPr>
        <w:t xml:space="preserve">Aunque </w:t>
      </w:r>
      <w:r>
        <w:rPr>
          <w:rStyle w:val="Ninguno"/>
          <w:b/>
          <w:bCs/>
          <w:sz w:val="22"/>
          <w:szCs w:val="22"/>
        </w:rPr>
        <w:t>l</w:t>
      </w:r>
      <w:r>
        <w:rPr>
          <w:rStyle w:val="Ninguno"/>
          <w:color w:val="auto"/>
          <w:u w:color="377395"/>
          <w:lang w:val="es-ES"/>
        </w:rPr>
        <w:t xml:space="preserve">os impagos se han resuelto en parte con las medidas del Gobierno relativas al Plan de Pago a Proveedores y el FLA, excepto en Cataluña, Comunidad Valenciana y Andalucía, aunque en este último caso los farmacéuticos solo notan los gastos financieros, y en el resto existe una financiación alternativa mediante factoring bancario. </w:t>
      </w:r>
      <w:r w:rsidRPr="00304940">
        <w:rPr>
          <w:rStyle w:val="Ninguno"/>
          <w:color w:val="auto"/>
          <w:sz w:val="22"/>
          <w:u w:color="377395"/>
          <w:lang w:val="es-ES"/>
        </w:rPr>
        <w:t>En el caso de Cataluña el factoring resulta relativamente costoso y se firma con cada farmacia, aunque lo negocia la Corporación. Como propuestas de futuro habría que considerar que no es probable que la facturación salga del ámbito de los Colegios de Farmacéuticos</w:t>
      </w:r>
      <w:r w:rsidR="00304940">
        <w:rPr>
          <w:rStyle w:val="Ninguno"/>
          <w:color w:val="auto"/>
          <w:sz w:val="22"/>
          <w:u w:color="377395"/>
          <w:lang w:val="es-ES"/>
        </w:rPr>
        <w:t>,</w:t>
      </w:r>
      <w:r w:rsidRPr="00304940">
        <w:rPr>
          <w:rStyle w:val="Ninguno"/>
          <w:color w:val="auto"/>
          <w:sz w:val="22"/>
          <w:u w:color="377395"/>
          <w:lang w:val="es-ES"/>
        </w:rPr>
        <w:t xml:space="preserve"> </w:t>
      </w:r>
      <w:r w:rsidR="00304940" w:rsidRPr="00304940">
        <w:rPr>
          <w:rStyle w:val="Ninguno"/>
          <w:color w:val="auto"/>
          <w:sz w:val="22"/>
          <w:u w:color="377395"/>
          <w:lang w:val="es-ES"/>
        </w:rPr>
        <w:t>ni</w:t>
      </w:r>
      <w:r w:rsidRPr="00304940">
        <w:rPr>
          <w:rStyle w:val="Ninguno"/>
          <w:color w:val="auto"/>
          <w:sz w:val="22"/>
          <w:u w:color="377395"/>
          <w:lang w:val="es-ES"/>
        </w:rPr>
        <w:t xml:space="preserve"> que se regule mediante Conciertos distintos de los actuales. </w:t>
      </w:r>
      <w:r w:rsidRPr="0064543F">
        <w:rPr>
          <w:rStyle w:val="Ninguno"/>
          <w:b/>
          <w:color w:val="auto"/>
          <w:sz w:val="22"/>
          <w:u w:color="377395"/>
          <w:lang w:val="es-ES"/>
        </w:rPr>
        <w:t>Lo que sí es posible en este momento</w:t>
      </w:r>
      <w:r w:rsidR="00304940" w:rsidRPr="0064543F">
        <w:rPr>
          <w:rStyle w:val="Ninguno"/>
          <w:b/>
          <w:color w:val="auto"/>
          <w:sz w:val="22"/>
          <w:u w:color="377395"/>
          <w:lang w:val="es-ES"/>
        </w:rPr>
        <w:t>,</w:t>
      </w:r>
      <w:r w:rsidRPr="0064543F">
        <w:rPr>
          <w:rStyle w:val="Ninguno"/>
          <w:b/>
          <w:color w:val="auto"/>
          <w:sz w:val="22"/>
          <w:u w:color="377395"/>
          <w:lang w:val="es-ES"/>
        </w:rPr>
        <w:t xml:space="preserve"> </w:t>
      </w:r>
      <w:r w:rsidR="00304940" w:rsidRPr="0064543F">
        <w:rPr>
          <w:rStyle w:val="Ninguno"/>
          <w:b/>
          <w:color w:val="auto"/>
          <w:sz w:val="22"/>
          <w:u w:color="377395"/>
          <w:lang w:val="es-ES"/>
        </w:rPr>
        <w:t>sería</w:t>
      </w:r>
      <w:r w:rsidRPr="0064543F">
        <w:rPr>
          <w:rStyle w:val="Ninguno"/>
          <w:b/>
          <w:color w:val="auto"/>
          <w:sz w:val="22"/>
          <w:u w:color="377395"/>
          <w:lang w:val="es-ES"/>
        </w:rPr>
        <w:t xml:space="preserve"> mejorar la financiación para el pago de las facturas</w:t>
      </w:r>
      <w:r w:rsidR="00304940" w:rsidRPr="0064543F">
        <w:rPr>
          <w:rStyle w:val="Ninguno"/>
          <w:b/>
          <w:color w:val="auto"/>
          <w:sz w:val="22"/>
          <w:u w:color="377395"/>
          <w:lang w:val="es-ES"/>
        </w:rPr>
        <w:t xml:space="preserve"> mediante soluciones procedentes del mercado de capitales</w:t>
      </w:r>
      <w:r w:rsidR="0064543F" w:rsidRPr="0064543F">
        <w:rPr>
          <w:rStyle w:val="Ninguno"/>
          <w:b/>
          <w:color w:val="auto"/>
          <w:sz w:val="22"/>
          <w:u w:color="377395"/>
          <w:lang w:val="es-ES"/>
        </w:rPr>
        <w:t>, lo que produciría una recapitalización de todo el sector</w:t>
      </w:r>
      <w:r w:rsidR="00304940" w:rsidRPr="0064543F">
        <w:rPr>
          <w:rStyle w:val="Ninguno"/>
          <w:b/>
          <w:color w:val="auto"/>
          <w:sz w:val="22"/>
          <w:u w:color="377395"/>
          <w:lang w:val="es-ES"/>
        </w:rPr>
        <w:t>.</w:t>
      </w:r>
    </w:p>
    <w:p w:rsidR="00521678" w:rsidRPr="0064543F" w:rsidRDefault="00521678">
      <w:pPr>
        <w:pStyle w:val="Cuerpo"/>
        <w:jc w:val="both"/>
        <w:rPr>
          <w:rStyle w:val="Ninguno"/>
          <w:b/>
          <w:bCs/>
          <w:sz w:val="18"/>
          <w:szCs w:val="22"/>
        </w:rPr>
      </w:pPr>
    </w:p>
    <w:p w:rsidR="001802AC" w:rsidRDefault="00521678">
      <w:pPr>
        <w:pStyle w:val="Cuerpo"/>
        <w:jc w:val="both"/>
        <w:rPr>
          <w:rStyle w:val="Ninguno"/>
          <w:sz w:val="22"/>
          <w:szCs w:val="22"/>
        </w:rPr>
      </w:pPr>
      <w:r>
        <w:rPr>
          <w:rStyle w:val="Ninguno"/>
          <w:sz w:val="22"/>
          <w:szCs w:val="22"/>
        </w:rPr>
        <w:t>En este Observatorio</w:t>
      </w:r>
      <w:r w:rsidR="0064543F">
        <w:rPr>
          <w:rStyle w:val="Ninguno"/>
          <w:sz w:val="22"/>
          <w:szCs w:val="22"/>
        </w:rPr>
        <w:t xml:space="preserve"> también</w:t>
      </w:r>
      <w:r>
        <w:rPr>
          <w:rStyle w:val="Ninguno"/>
          <w:sz w:val="22"/>
          <w:szCs w:val="22"/>
        </w:rPr>
        <w:t xml:space="preserve"> se hacen consideraciones sobre el </w:t>
      </w:r>
      <w:r w:rsidRPr="00304940">
        <w:rPr>
          <w:rStyle w:val="Ninguno"/>
          <w:b/>
          <w:sz w:val="22"/>
          <w:szCs w:val="22"/>
        </w:rPr>
        <w:t>proyecto de Decreto que ha sometido a información pública la Xunta de Galicia por el que se propone la apertura de 41 nuevas oficinas de farmacia</w:t>
      </w:r>
      <w:r>
        <w:rPr>
          <w:rStyle w:val="Ninguno"/>
          <w:sz w:val="22"/>
          <w:szCs w:val="22"/>
        </w:rPr>
        <w:t xml:space="preserve">. Un estudio que última la Patronal FEFGA apunta a que se pueden </w:t>
      </w:r>
      <w:r w:rsidRPr="00304940">
        <w:rPr>
          <w:rStyle w:val="Ninguno"/>
          <w:b/>
          <w:sz w:val="22"/>
          <w:szCs w:val="22"/>
        </w:rPr>
        <w:t>duplicar las farmacias que perciben subvenciones</w:t>
      </w:r>
      <w:r>
        <w:rPr>
          <w:rStyle w:val="Ninguno"/>
          <w:sz w:val="22"/>
          <w:szCs w:val="22"/>
        </w:rPr>
        <w:t xml:space="preserve"> </w:t>
      </w:r>
      <w:r w:rsidR="00304940">
        <w:rPr>
          <w:rStyle w:val="Ninguno"/>
          <w:sz w:val="22"/>
          <w:szCs w:val="22"/>
        </w:rPr>
        <w:t xml:space="preserve">y que la apertura de estas nuevas farmacias produciría unos </w:t>
      </w:r>
      <w:r w:rsidR="00304940" w:rsidRPr="00304940">
        <w:rPr>
          <w:rStyle w:val="Ninguno"/>
          <w:b/>
          <w:sz w:val="22"/>
          <w:szCs w:val="22"/>
        </w:rPr>
        <w:t>menores ingresos a la Xunta que estiman en unos cuatro millones de euros,</w:t>
      </w:r>
      <w:r w:rsidR="00304940">
        <w:rPr>
          <w:rStyle w:val="Ninguno"/>
          <w:sz w:val="22"/>
          <w:szCs w:val="22"/>
        </w:rPr>
        <w:t xml:space="preserve"> al disminuir las deducciones y descuentos ligados al nivel de ventas de las farmacias.</w:t>
      </w:r>
    </w:p>
    <w:p w:rsidR="00304940" w:rsidRPr="0064543F" w:rsidRDefault="00304940">
      <w:pPr>
        <w:pStyle w:val="Cuerpo"/>
        <w:jc w:val="both"/>
        <w:rPr>
          <w:rStyle w:val="Ninguno"/>
          <w:sz w:val="18"/>
          <w:szCs w:val="22"/>
        </w:rPr>
      </w:pPr>
      <w:bookmarkStart w:id="0" w:name="_GoBack"/>
      <w:bookmarkEnd w:id="0"/>
    </w:p>
    <w:p w:rsidR="007F59ED" w:rsidRDefault="00063C1D">
      <w:pPr>
        <w:pStyle w:val="Cuerpo"/>
        <w:jc w:val="both"/>
      </w:pPr>
      <w:r>
        <w:rPr>
          <w:rStyle w:val="Ninguno"/>
          <w:b/>
          <w:bCs/>
        </w:rPr>
        <w:t xml:space="preserve">Finalmente, las previsiones a corto plazo – </w:t>
      </w:r>
      <w:r w:rsidR="00D26323">
        <w:rPr>
          <w:rStyle w:val="Ninguno"/>
          <w:b/>
          <w:bCs/>
        </w:rPr>
        <w:t>mayo</w:t>
      </w:r>
      <w:r w:rsidR="001802AC">
        <w:rPr>
          <w:rStyle w:val="Ninguno"/>
          <w:b/>
          <w:bCs/>
        </w:rPr>
        <w:t xml:space="preserve"> y </w:t>
      </w:r>
      <w:r w:rsidR="00304940">
        <w:rPr>
          <w:rStyle w:val="Ninguno"/>
          <w:b/>
          <w:bCs/>
        </w:rPr>
        <w:t>junio</w:t>
      </w:r>
      <w:r>
        <w:rPr>
          <w:rStyle w:val="Ninguno"/>
          <w:b/>
          <w:bCs/>
        </w:rPr>
        <w:t xml:space="preserve"> de 2017 – </w:t>
      </w:r>
      <w:r>
        <w:rPr>
          <w:lang w:val="es-ES_tradnl"/>
        </w:rPr>
        <w:t>indican que el mercado seguir</w:t>
      </w:r>
      <w:r>
        <w:t xml:space="preserve">á </w:t>
      </w:r>
      <w:r>
        <w:rPr>
          <w:lang w:val="es-ES_tradnl"/>
        </w:rPr>
        <w:t>creciendo</w:t>
      </w:r>
      <w:r w:rsidR="00304940">
        <w:rPr>
          <w:lang w:val="es-ES_tradnl"/>
        </w:rPr>
        <w:t xml:space="preserve"> muy moderadamente y, en cualquier caso en menor proporción que el año precedente.</w:t>
      </w:r>
    </w:p>
    <w:sectPr w:rsidR="007F59ED" w:rsidSect="009051CE">
      <w:headerReference w:type="default" r:id="rId14"/>
      <w:footerReference w:type="default" r:id="rId15"/>
      <w:headerReference w:type="first" r:id="rId16"/>
      <w:footerReference w:type="first" r:id="rId17"/>
      <w:pgSz w:w="11900" w:h="16840"/>
      <w:pgMar w:top="1418" w:right="1531" w:bottom="1418" w:left="153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297" w:rsidRDefault="000D4297">
      <w:r>
        <w:separator/>
      </w:r>
    </w:p>
  </w:endnote>
  <w:endnote w:type="continuationSeparator" w:id="0">
    <w:p w:rsidR="000D4297" w:rsidRDefault="000D42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ED" w:rsidRDefault="00063C1D">
    <w:pPr>
      <w:pStyle w:val="Piedepgina"/>
      <w:tabs>
        <w:tab w:val="clear" w:pos="8838"/>
        <w:tab w:val="right" w:pos="8818"/>
      </w:tabs>
      <w:jc w:val="center"/>
    </w:pPr>
    <w:r>
      <w:t>FEDERACIÓN EMPRESARIAL DE FARMACÉUTICOS ESPAÑOLES</w:t>
    </w:r>
  </w:p>
  <w:p w:rsidR="007F59ED" w:rsidRDefault="00063C1D">
    <w:pPr>
      <w:pStyle w:val="Piedepgina"/>
      <w:tabs>
        <w:tab w:val="clear" w:pos="8838"/>
        <w:tab w:val="right" w:pos="8818"/>
      </w:tabs>
      <w:jc w:val="center"/>
    </w:pPr>
    <w:r>
      <w:t>Príncipe de Vergara 8, 3º. 28001 – Madrid</w:t>
    </w:r>
  </w:p>
  <w:p w:rsidR="007F59ED" w:rsidRDefault="00063C1D">
    <w:pPr>
      <w:pStyle w:val="Piedepgina"/>
      <w:tabs>
        <w:tab w:val="clear" w:pos="8838"/>
        <w:tab w:val="right" w:pos="8818"/>
      </w:tabs>
      <w:jc w:val="center"/>
    </w:pPr>
    <w:r>
      <w:t>•Tel: 91 575 43 86 • Fax: 91 577 57 43 • e-mail: federacion@fefe.com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ED" w:rsidRDefault="007F59ED">
    <w:pPr>
      <w:pStyle w:val="Cabeceraypi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297" w:rsidRDefault="000D4297">
      <w:r>
        <w:separator/>
      </w:r>
    </w:p>
  </w:footnote>
  <w:footnote w:type="continuationSeparator" w:id="0">
    <w:p w:rsidR="000D4297" w:rsidRDefault="000D4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ED" w:rsidRDefault="00063C1D">
    <w:pPr>
      <w:pStyle w:val="Encabezado"/>
      <w:tabs>
        <w:tab w:val="clear" w:pos="8838"/>
        <w:tab w:val="right" w:pos="8818"/>
      </w:tabs>
    </w:pPr>
    <w:r>
      <w:rPr>
        <w:noProof/>
        <w:lang w:val="es-ES"/>
      </w:rPr>
      <w:drawing>
        <wp:inline distT="0" distB="0" distL="0" distR="0">
          <wp:extent cx="796925" cy="685800"/>
          <wp:effectExtent l="0" t="0" r="0" b="0"/>
          <wp:docPr id="1073741825" name="officeArt object" descr="Logofefe"/>
          <wp:cNvGraphicFramePr/>
          <a:graphic xmlns:a="http://schemas.openxmlformats.org/drawingml/2006/main">
            <a:graphicData uri="http://schemas.openxmlformats.org/drawingml/2006/picture">
              <pic:pic xmlns:pic="http://schemas.openxmlformats.org/drawingml/2006/picture">
                <pic:nvPicPr>
                  <pic:cNvPr id="1073741825" name="Logofefe" descr="Logofefe"/>
                  <pic:cNvPicPr>
                    <a:picLocks noChangeAspect="1"/>
                  </pic:cNvPicPr>
                </pic:nvPicPr>
                <pic:blipFill>
                  <a:blip r:embed="rId1">
                    <a:extLst/>
                  </a:blip>
                  <a:stretch>
                    <a:fillRect/>
                  </a:stretch>
                </pic:blipFill>
                <pic:spPr>
                  <a:xfrm>
                    <a:off x="0" y="0"/>
                    <a:ext cx="796925" cy="685800"/>
                  </a:xfrm>
                  <a:prstGeom prst="rect">
                    <a:avLst/>
                  </a:prstGeom>
                  <a:ln w="12700" cap="flat">
                    <a:noFill/>
                    <a:miter lim="400000"/>
                  </a:ln>
                  <a:effectLst/>
                </pic:spPr>
              </pic:pic>
            </a:graphicData>
          </a:graphic>
        </wp:inline>
      </w:drawing>
    </w:r>
    <w:r>
      <w:tab/>
    </w:r>
    <w:r>
      <w:rPr>
        <w:rStyle w:val="Ninguno"/>
        <w:rFonts w:ascii="Arial Black" w:hAnsi="Arial Black"/>
        <w:color w:val="008080"/>
        <w:sz w:val="48"/>
        <w:szCs w:val="48"/>
        <w:u w:color="008080"/>
      </w:rPr>
      <w:t xml:space="preserve">OBSERVATORIO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ED" w:rsidRDefault="007F59ED">
    <w:pPr>
      <w:pStyle w:val="Cabeceraypi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B3156"/>
    <w:multiLevelType w:val="hybridMultilevel"/>
    <w:tmpl w:val="E64C98C2"/>
    <w:lvl w:ilvl="0" w:tplc="D61442F6">
      <w:start w:val="1"/>
      <w:numFmt w:val="bullet"/>
      <w:lvlText w:val=""/>
      <w:lvlJc w:val="left"/>
      <w:pPr>
        <w:tabs>
          <w:tab w:val="num" w:pos="720"/>
        </w:tabs>
        <w:ind w:left="720" w:hanging="360"/>
      </w:pPr>
      <w:rPr>
        <w:rFonts w:ascii="Wingdings" w:hAnsi="Wingdings" w:hint="default"/>
      </w:rPr>
    </w:lvl>
    <w:lvl w:ilvl="1" w:tplc="3618B09A" w:tentative="1">
      <w:start w:val="1"/>
      <w:numFmt w:val="bullet"/>
      <w:lvlText w:val=""/>
      <w:lvlJc w:val="left"/>
      <w:pPr>
        <w:tabs>
          <w:tab w:val="num" w:pos="1440"/>
        </w:tabs>
        <w:ind w:left="1440" w:hanging="360"/>
      </w:pPr>
      <w:rPr>
        <w:rFonts w:ascii="Wingdings" w:hAnsi="Wingdings" w:hint="default"/>
      </w:rPr>
    </w:lvl>
    <w:lvl w:ilvl="2" w:tplc="B992B64A" w:tentative="1">
      <w:start w:val="1"/>
      <w:numFmt w:val="bullet"/>
      <w:lvlText w:val=""/>
      <w:lvlJc w:val="left"/>
      <w:pPr>
        <w:tabs>
          <w:tab w:val="num" w:pos="2160"/>
        </w:tabs>
        <w:ind w:left="2160" w:hanging="360"/>
      </w:pPr>
      <w:rPr>
        <w:rFonts w:ascii="Wingdings" w:hAnsi="Wingdings" w:hint="default"/>
      </w:rPr>
    </w:lvl>
    <w:lvl w:ilvl="3" w:tplc="CEF8A0D8" w:tentative="1">
      <w:start w:val="1"/>
      <w:numFmt w:val="bullet"/>
      <w:lvlText w:val=""/>
      <w:lvlJc w:val="left"/>
      <w:pPr>
        <w:tabs>
          <w:tab w:val="num" w:pos="2880"/>
        </w:tabs>
        <w:ind w:left="2880" w:hanging="360"/>
      </w:pPr>
      <w:rPr>
        <w:rFonts w:ascii="Wingdings" w:hAnsi="Wingdings" w:hint="default"/>
      </w:rPr>
    </w:lvl>
    <w:lvl w:ilvl="4" w:tplc="0EC2A362" w:tentative="1">
      <w:start w:val="1"/>
      <w:numFmt w:val="bullet"/>
      <w:lvlText w:val=""/>
      <w:lvlJc w:val="left"/>
      <w:pPr>
        <w:tabs>
          <w:tab w:val="num" w:pos="3600"/>
        </w:tabs>
        <w:ind w:left="3600" w:hanging="360"/>
      </w:pPr>
      <w:rPr>
        <w:rFonts w:ascii="Wingdings" w:hAnsi="Wingdings" w:hint="default"/>
      </w:rPr>
    </w:lvl>
    <w:lvl w:ilvl="5" w:tplc="76D8DB9C" w:tentative="1">
      <w:start w:val="1"/>
      <w:numFmt w:val="bullet"/>
      <w:lvlText w:val=""/>
      <w:lvlJc w:val="left"/>
      <w:pPr>
        <w:tabs>
          <w:tab w:val="num" w:pos="4320"/>
        </w:tabs>
        <w:ind w:left="4320" w:hanging="360"/>
      </w:pPr>
      <w:rPr>
        <w:rFonts w:ascii="Wingdings" w:hAnsi="Wingdings" w:hint="default"/>
      </w:rPr>
    </w:lvl>
    <w:lvl w:ilvl="6" w:tplc="963AD47C" w:tentative="1">
      <w:start w:val="1"/>
      <w:numFmt w:val="bullet"/>
      <w:lvlText w:val=""/>
      <w:lvlJc w:val="left"/>
      <w:pPr>
        <w:tabs>
          <w:tab w:val="num" w:pos="5040"/>
        </w:tabs>
        <w:ind w:left="5040" w:hanging="360"/>
      </w:pPr>
      <w:rPr>
        <w:rFonts w:ascii="Wingdings" w:hAnsi="Wingdings" w:hint="default"/>
      </w:rPr>
    </w:lvl>
    <w:lvl w:ilvl="7" w:tplc="4C62C02C" w:tentative="1">
      <w:start w:val="1"/>
      <w:numFmt w:val="bullet"/>
      <w:lvlText w:val=""/>
      <w:lvlJc w:val="left"/>
      <w:pPr>
        <w:tabs>
          <w:tab w:val="num" w:pos="5760"/>
        </w:tabs>
        <w:ind w:left="5760" w:hanging="360"/>
      </w:pPr>
      <w:rPr>
        <w:rFonts w:ascii="Wingdings" w:hAnsi="Wingdings" w:hint="default"/>
      </w:rPr>
    </w:lvl>
    <w:lvl w:ilvl="8" w:tplc="E496ECCC" w:tentative="1">
      <w:start w:val="1"/>
      <w:numFmt w:val="bullet"/>
      <w:lvlText w:val=""/>
      <w:lvlJc w:val="left"/>
      <w:pPr>
        <w:tabs>
          <w:tab w:val="num" w:pos="6480"/>
        </w:tabs>
        <w:ind w:left="6480" w:hanging="360"/>
      </w:pPr>
      <w:rPr>
        <w:rFonts w:ascii="Wingdings" w:hAnsi="Wingdings" w:hint="default"/>
      </w:rPr>
    </w:lvl>
  </w:abstractNum>
  <w:abstractNum w:abstractNumId="1">
    <w:nsid w:val="29E14FAB"/>
    <w:multiLevelType w:val="hybridMultilevel"/>
    <w:tmpl w:val="2ED2776C"/>
    <w:lvl w:ilvl="0" w:tplc="EB4A2ABA">
      <w:start w:val="1"/>
      <w:numFmt w:val="bullet"/>
      <w:lvlText w:val=""/>
      <w:lvlJc w:val="left"/>
      <w:pPr>
        <w:tabs>
          <w:tab w:val="num" w:pos="720"/>
        </w:tabs>
        <w:ind w:left="720" w:hanging="360"/>
      </w:pPr>
      <w:rPr>
        <w:rFonts w:ascii="Wingdings" w:hAnsi="Wingdings" w:hint="default"/>
      </w:rPr>
    </w:lvl>
    <w:lvl w:ilvl="1" w:tplc="793EC516" w:tentative="1">
      <w:start w:val="1"/>
      <w:numFmt w:val="bullet"/>
      <w:lvlText w:val=""/>
      <w:lvlJc w:val="left"/>
      <w:pPr>
        <w:tabs>
          <w:tab w:val="num" w:pos="1440"/>
        </w:tabs>
        <w:ind w:left="1440" w:hanging="360"/>
      </w:pPr>
      <w:rPr>
        <w:rFonts w:ascii="Wingdings" w:hAnsi="Wingdings" w:hint="default"/>
      </w:rPr>
    </w:lvl>
    <w:lvl w:ilvl="2" w:tplc="974EF478" w:tentative="1">
      <w:start w:val="1"/>
      <w:numFmt w:val="bullet"/>
      <w:lvlText w:val=""/>
      <w:lvlJc w:val="left"/>
      <w:pPr>
        <w:tabs>
          <w:tab w:val="num" w:pos="2160"/>
        </w:tabs>
        <w:ind w:left="2160" w:hanging="360"/>
      </w:pPr>
      <w:rPr>
        <w:rFonts w:ascii="Wingdings" w:hAnsi="Wingdings" w:hint="default"/>
      </w:rPr>
    </w:lvl>
    <w:lvl w:ilvl="3" w:tplc="57D0183C" w:tentative="1">
      <w:start w:val="1"/>
      <w:numFmt w:val="bullet"/>
      <w:lvlText w:val=""/>
      <w:lvlJc w:val="left"/>
      <w:pPr>
        <w:tabs>
          <w:tab w:val="num" w:pos="2880"/>
        </w:tabs>
        <w:ind w:left="2880" w:hanging="360"/>
      </w:pPr>
      <w:rPr>
        <w:rFonts w:ascii="Wingdings" w:hAnsi="Wingdings" w:hint="default"/>
      </w:rPr>
    </w:lvl>
    <w:lvl w:ilvl="4" w:tplc="15662B08" w:tentative="1">
      <w:start w:val="1"/>
      <w:numFmt w:val="bullet"/>
      <w:lvlText w:val=""/>
      <w:lvlJc w:val="left"/>
      <w:pPr>
        <w:tabs>
          <w:tab w:val="num" w:pos="3600"/>
        </w:tabs>
        <w:ind w:left="3600" w:hanging="360"/>
      </w:pPr>
      <w:rPr>
        <w:rFonts w:ascii="Wingdings" w:hAnsi="Wingdings" w:hint="default"/>
      </w:rPr>
    </w:lvl>
    <w:lvl w:ilvl="5" w:tplc="5530720E" w:tentative="1">
      <w:start w:val="1"/>
      <w:numFmt w:val="bullet"/>
      <w:lvlText w:val=""/>
      <w:lvlJc w:val="left"/>
      <w:pPr>
        <w:tabs>
          <w:tab w:val="num" w:pos="4320"/>
        </w:tabs>
        <w:ind w:left="4320" w:hanging="360"/>
      </w:pPr>
      <w:rPr>
        <w:rFonts w:ascii="Wingdings" w:hAnsi="Wingdings" w:hint="default"/>
      </w:rPr>
    </w:lvl>
    <w:lvl w:ilvl="6" w:tplc="DB6AECF0" w:tentative="1">
      <w:start w:val="1"/>
      <w:numFmt w:val="bullet"/>
      <w:lvlText w:val=""/>
      <w:lvlJc w:val="left"/>
      <w:pPr>
        <w:tabs>
          <w:tab w:val="num" w:pos="5040"/>
        </w:tabs>
        <w:ind w:left="5040" w:hanging="360"/>
      </w:pPr>
      <w:rPr>
        <w:rFonts w:ascii="Wingdings" w:hAnsi="Wingdings" w:hint="default"/>
      </w:rPr>
    </w:lvl>
    <w:lvl w:ilvl="7" w:tplc="3D1E2A54" w:tentative="1">
      <w:start w:val="1"/>
      <w:numFmt w:val="bullet"/>
      <w:lvlText w:val=""/>
      <w:lvlJc w:val="left"/>
      <w:pPr>
        <w:tabs>
          <w:tab w:val="num" w:pos="5760"/>
        </w:tabs>
        <w:ind w:left="5760" w:hanging="360"/>
      </w:pPr>
      <w:rPr>
        <w:rFonts w:ascii="Wingdings" w:hAnsi="Wingdings" w:hint="default"/>
      </w:rPr>
    </w:lvl>
    <w:lvl w:ilvl="8" w:tplc="1F36DE9A" w:tentative="1">
      <w:start w:val="1"/>
      <w:numFmt w:val="bullet"/>
      <w:lvlText w:val=""/>
      <w:lvlJc w:val="left"/>
      <w:pPr>
        <w:tabs>
          <w:tab w:val="num" w:pos="6480"/>
        </w:tabs>
        <w:ind w:left="6480" w:hanging="360"/>
      </w:pPr>
      <w:rPr>
        <w:rFonts w:ascii="Wingdings" w:hAnsi="Wingdings" w:hint="default"/>
      </w:rPr>
    </w:lvl>
  </w:abstractNum>
  <w:abstractNum w:abstractNumId="2">
    <w:nsid w:val="40AB2DDE"/>
    <w:multiLevelType w:val="hybridMultilevel"/>
    <w:tmpl w:val="F42A9A58"/>
    <w:lvl w:ilvl="0" w:tplc="3D680988">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4B65BFB"/>
    <w:multiLevelType w:val="hybridMultilevel"/>
    <w:tmpl w:val="E3FCFC9E"/>
    <w:lvl w:ilvl="0" w:tplc="E0386F0E">
      <w:start w:val="1"/>
      <w:numFmt w:val="bullet"/>
      <w:lvlText w:val=""/>
      <w:lvlJc w:val="left"/>
      <w:pPr>
        <w:tabs>
          <w:tab w:val="num" w:pos="720"/>
        </w:tabs>
        <w:ind w:left="720" w:hanging="360"/>
      </w:pPr>
      <w:rPr>
        <w:rFonts w:ascii="Wingdings" w:hAnsi="Wingdings" w:hint="default"/>
      </w:rPr>
    </w:lvl>
    <w:lvl w:ilvl="1" w:tplc="E1D2B63A" w:tentative="1">
      <w:start w:val="1"/>
      <w:numFmt w:val="bullet"/>
      <w:lvlText w:val=""/>
      <w:lvlJc w:val="left"/>
      <w:pPr>
        <w:tabs>
          <w:tab w:val="num" w:pos="1440"/>
        </w:tabs>
        <w:ind w:left="1440" w:hanging="360"/>
      </w:pPr>
      <w:rPr>
        <w:rFonts w:ascii="Wingdings" w:hAnsi="Wingdings" w:hint="default"/>
      </w:rPr>
    </w:lvl>
    <w:lvl w:ilvl="2" w:tplc="61080E84" w:tentative="1">
      <w:start w:val="1"/>
      <w:numFmt w:val="bullet"/>
      <w:lvlText w:val=""/>
      <w:lvlJc w:val="left"/>
      <w:pPr>
        <w:tabs>
          <w:tab w:val="num" w:pos="2160"/>
        </w:tabs>
        <w:ind w:left="2160" w:hanging="360"/>
      </w:pPr>
      <w:rPr>
        <w:rFonts w:ascii="Wingdings" w:hAnsi="Wingdings" w:hint="default"/>
      </w:rPr>
    </w:lvl>
    <w:lvl w:ilvl="3" w:tplc="27ECDDA2" w:tentative="1">
      <w:start w:val="1"/>
      <w:numFmt w:val="bullet"/>
      <w:lvlText w:val=""/>
      <w:lvlJc w:val="left"/>
      <w:pPr>
        <w:tabs>
          <w:tab w:val="num" w:pos="2880"/>
        </w:tabs>
        <w:ind w:left="2880" w:hanging="360"/>
      </w:pPr>
      <w:rPr>
        <w:rFonts w:ascii="Wingdings" w:hAnsi="Wingdings" w:hint="default"/>
      </w:rPr>
    </w:lvl>
    <w:lvl w:ilvl="4" w:tplc="4970A2F8" w:tentative="1">
      <w:start w:val="1"/>
      <w:numFmt w:val="bullet"/>
      <w:lvlText w:val=""/>
      <w:lvlJc w:val="left"/>
      <w:pPr>
        <w:tabs>
          <w:tab w:val="num" w:pos="3600"/>
        </w:tabs>
        <w:ind w:left="3600" w:hanging="360"/>
      </w:pPr>
      <w:rPr>
        <w:rFonts w:ascii="Wingdings" w:hAnsi="Wingdings" w:hint="default"/>
      </w:rPr>
    </w:lvl>
    <w:lvl w:ilvl="5" w:tplc="93386DD4" w:tentative="1">
      <w:start w:val="1"/>
      <w:numFmt w:val="bullet"/>
      <w:lvlText w:val=""/>
      <w:lvlJc w:val="left"/>
      <w:pPr>
        <w:tabs>
          <w:tab w:val="num" w:pos="4320"/>
        </w:tabs>
        <w:ind w:left="4320" w:hanging="360"/>
      </w:pPr>
      <w:rPr>
        <w:rFonts w:ascii="Wingdings" w:hAnsi="Wingdings" w:hint="default"/>
      </w:rPr>
    </w:lvl>
    <w:lvl w:ilvl="6" w:tplc="FA60E424" w:tentative="1">
      <w:start w:val="1"/>
      <w:numFmt w:val="bullet"/>
      <w:lvlText w:val=""/>
      <w:lvlJc w:val="left"/>
      <w:pPr>
        <w:tabs>
          <w:tab w:val="num" w:pos="5040"/>
        </w:tabs>
        <w:ind w:left="5040" w:hanging="360"/>
      </w:pPr>
      <w:rPr>
        <w:rFonts w:ascii="Wingdings" w:hAnsi="Wingdings" w:hint="default"/>
      </w:rPr>
    </w:lvl>
    <w:lvl w:ilvl="7" w:tplc="B8C86658" w:tentative="1">
      <w:start w:val="1"/>
      <w:numFmt w:val="bullet"/>
      <w:lvlText w:val=""/>
      <w:lvlJc w:val="left"/>
      <w:pPr>
        <w:tabs>
          <w:tab w:val="num" w:pos="5760"/>
        </w:tabs>
        <w:ind w:left="5760" w:hanging="360"/>
      </w:pPr>
      <w:rPr>
        <w:rFonts w:ascii="Wingdings" w:hAnsi="Wingdings" w:hint="default"/>
      </w:rPr>
    </w:lvl>
    <w:lvl w:ilvl="8" w:tplc="C94CE334" w:tentative="1">
      <w:start w:val="1"/>
      <w:numFmt w:val="bullet"/>
      <w:lvlText w:val=""/>
      <w:lvlJc w:val="left"/>
      <w:pPr>
        <w:tabs>
          <w:tab w:val="num" w:pos="6480"/>
        </w:tabs>
        <w:ind w:left="6480" w:hanging="360"/>
      </w:pPr>
      <w:rPr>
        <w:rFonts w:ascii="Wingdings" w:hAnsi="Wingdings" w:hint="default"/>
      </w:rPr>
    </w:lvl>
  </w:abstractNum>
  <w:abstractNum w:abstractNumId="4">
    <w:nsid w:val="6B6B4959"/>
    <w:multiLevelType w:val="hybridMultilevel"/>
    <w:tmpl w:val="139A48B0"/>
    <w:numStyleLink w:val="Estiloimportado1"/>
  </w:abstractNum>
  <w:abstractNum w:abstractNumId="5">
    <w:nsid w:val="6CB355C8"/>
    <w:multiLevelType w:val="hybridMultilevel"/>
    <w:tmpl w:val="53681C8E"/>
    <w:lvl w:ilvl="0" w:tplc="C44C3B6E">
      <w:start w:val="1"/>
      <w:numFmt w:val="bullet"/>
      <w:lvlText w:val=""/>
      <w:lvlJc w:val="left"/>
      <w:pPr>
        <w:tabs>
          <w:tab w:val="num" w:pos="720"/>
        </w:tabs>
        <w:ind w:left="720" w:hanging="360"/>
      </w:pPr>
      <w:rPr>
        <w:rFonts w:ascii="Wingdings" w:hAnsi="Wingdings" w:hint="default"/>
      </w:rPr>
    </w:lvl>
    <w:lvl w:ilvl="1" w:tplc="401A8E48" w:tentative="1">
      <w:start w:val="1"/>
      <w:numFmt w:val="bullet"/>
      <w:lvlText w:val=""/>
      <w:lvlJc w:val="left"/>
      <w:pPr>
        <w:tabs>
          <w:tab w:val="num" w:pos="1440"/>
        </w:tabs>
        <w:ind w:left="1440" w:hanging="360"/>
      </w:pPr>
      <w:rPr>
        <w:rFonts w:ascii="Wingdings" w:hAnsi="Wingdings" w:hint="default"/>
      </w:rPr>
    </w:lvl>
    <w:lvl w:ilvl="2" w:tplc="D6DC32AE" w:tentative="1">
      <w:start w:val="1"/>
      <w:numFmt w:val="bullet"/>
      <w:lvlText w:val=""/>
      <w:lvlJc w:val="left"/>
      <w:pPr>
        <w:tabs>
          <w:tab w:val="num" w:pos="2160"/>
        </w:tabs>
        <w:ind w:left="2160" w:hanging="360"/>
      </w:pPr>
      <w:rPr>
        <w:rFonts w:ascii="Wingdings" w:hAnsi="Wingdings" w:hint="default"/>
      </w:rPr>
    </w:lvl>
    <w:lvl w:ilvl="3" w:tplc="87E03BDA" w:tentative="1">
      <w:start w:val="1"/>
      <w:numFmt w:val="bullet"/>
      <w:lvlText w:val=""/>
      <w:lvlJc w:val="left"/>
      <w:pPr>
        <w:tabs>
          <w:tab w:val="num" w:pos="2880"/>
        </w:tabs>
        <w:ind w:left="2880" w:hanging="360"/>
      </w:pPr>
      <w:rPr>
        <w:rFonts w:ascii="Wingdings" w:hAnsi="Wingdings" w:hint="default"/>
      </w:rPr>
    </w:lvl>
    <w:lvl w:ilvl="4" w:tplc="83E69934" w:tentative="1">
      <w:start w:val="1"/>
      <w:numFmt w:val="bullet"/>
      <w:lvlText w:val=""/>
      <w:lvlJc w:val="left"/>
      <w:pPr>
        <w:tabs>
          <w:tab w:val="num" w:pos="3600"/>
        </w:tabs>
        <w:ind w:left="3600" w:hanging="360"/>
      </w:pPr>
      <w:rPr>
        <w:rFonts w:ascii="Wingdings" w:hAnsi="Wingdings" w:hint="default"/>
      </w:rPr>
    </w:lvl>
    <w:lvl w:ilvl="5" w:tplc="09F8EAD0" w:tentative="1">
      <w:start w:val="1"/>
      <w:numFmt w:val="bullet"/>
      <w:lvlText w:val=""/>
      <w:lvlJc w:val="left"/>
      <w:pPr>
        <w:tabs>
          <w:tab w:val="num" w:pos="4320"/>
        </w:tabs>
        <w:ind w:left="4320" w:hanging="360"/>
      </w:pPr>
      <w:rPr>
        <w:rFonts w:ascii="Wingdings" w:hAnsi="Wingdings" w:hint="default"/>
      </w:rPr>
    </w:lvl>
    <w:lvl w:ilvl="6" w:tplc="CEC616B4" w:tentative="1">
      <w:start w:val="1"/>
      <w:numFmt w:val="bullet"/>
      <w:lvlText w:val=""/>
      <w:lvlJc w:val="left"/>
      <w:pPr>
        <w:tabs>
          <w:tab w:val="num" w:pos="5040"/>
        </w:tabs>
        <w:ind w:left="5040" w:hanging="360"/>
      </w:pPr>
      <w:rPr>
        <w:rFonts w:ascii="Wingdings" w:hAnsi="Wingdings" w:hint="default"/>
      </w:rPr>
    </w:lvl>
    <w:lvl w:ilvl="7" w:tplc="5A9214E6" w:tentative="1">
      <w:start w:val="1"/>
      <w:numFmt w:val="bullet"/>
      <w:lvlText w:val=""/>
      <w:lvlJc w:val="left"/>
      <w:pPr>
        <w:tabs>
          <w:tab w:val="num" w:pos="5760"/>
        </w:tabs>
        <w:ind w:left="5760" w:hanging="360"/>
      </w:pPr>
      <w:rPr>
        <w:rFonts w:ascii="Wingdings" w:hAnsi="Wingdings" w:hint="default"/>
      </w:rPr>
    </w:lvl>
    <w:lvl w:ilvl="8" w:tplc="1B224038" w:tentative="1">
      <w:start w:val="1"/>
      <w:numFmt w:val="bullet"/>
      <w:lvlText w:val=""/>
      <w:lvlJc w:val="left"/>
      <w:pPr>
        <w:tabs>
          <w:tab w:val="num" w:pos="6480"/>
        </w:tabs>
        <w:ind w:left="6480" w:hanging="360"/>
      </w:pPr>
      <w:rPr>
        <w:rFonts w:ascii="Wingdings" w:hAnsi="Wingdings" w:hint="default"/>
      </w:rPr>
    </w:lvl>
  </w:abstractNum>
  <w:abstractNum w:abstractNumId="6">
    <w:nsid w:val="6F18372B"/>
    <w:multiLevelType w:val="hybridMultilevel"/>
    <w:tmpl w:val="413E7682"/>
    <w:lvl w:ilvl="0" w:tplc="D6C4B1D2">
      <w:start w:val="1"/>
      <w:numFmt w:val="bullet"/>
      <w:lvlText w:val=""/>
      <w:lvlJc w:val="left"/>
      <w:pPr>
        <w:tabs>
          <w:tab w:val="num" w:pos="720"/>
        </w:tabs>
        <w:ind w:left="720" w:hanging="360"/>
      </w:pPr>
      <w:rPr>
        <w:rFonts w:ascii="Wingdings" w:hAnsi="Wingdings" w:hint="default"/>
      </w:rPr>
    </w:lvl>
    <w:lvl w:ilvl="1" w:tplc="46FED692" w:tentative="1">
      <w:start w:val="1"/>
      <w:numFmt w:val="bullet"/>
      <w:lvlText w:val=""/>
      <w:lvlJc w:val="left"/>
      <w:pPr>
        <w:tabs>
          <w:tab w:val="num" w:pos="1440"/>
        </w:tabs>
        <w:ind w:left="1440" w:hanging="360"/>
      </w:pPr>
      <w:rPr>
        <w:rFonts w:ascii="Wingdings" w:hAnsi="Wingdings" w:hint="default"/>
      </w:rPr>
    </w:lvl>
    <w:lvl w:ilvl="2" w:tplc="2C5C15F0" w:tentative="1">
      <w:start w:val="1"/>
      <w:numFmt w:val="bullet"/>
      <w:lvlText w:val=""/>
      <w:lvlJc w:val="left"/>
      <w:pPr>
        <w:tabs>
          <w:tab w:val="num" w:pos="2160"/>
        </w:tabs>
        <w:ind w:left="2160" w:hanging="360"/>
      </w:pPr>
      <w:rPr>
        <w:rFonts w:ascii="Wingdings" w:hAnsi="Wingdings" w:hint="default"/>
      </w:rPr>
    </w:lvl>
    <w:lvl w:ilvl="3" w:tplc="F5320D4A" w:tentative="1">
      <w:start w:val="1"/>
      <w:numFmt w:val="bullet"/>
      <w:lvlText w:val=""/>
      <w:lvlJc w:val="left"/>
      <w:pPr>
        <w:tabs>
          <w:tab w:val="num" w:pos="2880"/>
        </w:tabs>
        <w:ind w:left="2880" w:hanging="360"/>
      </w:pPr>
      <w:rPr>
        <w:rFonts w:ascii="Wingdings" w:hAnsi="Wingdings" w:hint="default"/>
      </w:rPr>
    </w:lvl>
    <w:lvl w:ilvl="4" w:tplc="436E647A" w:tentative="1">
      <w:start w:val="1"/>
      <w:numFmt w:val="bullet"/>
      <w:lvlText w:val=""/>
      <w:lvlJc w:val="left"/>
      <w:pPr>
        <w:tabs>
          <w:tab w:val="num" w:pos="3600"/>
        </w:tabs>
        <w:ind w:left="3600" w:hanging="360"/>
      </w:pPr>
      <w:rPr>
        <w:rFonts w:ascii="Wingdings" w:hAnsi="Wingdings" w:hint="default"/>
      </w:rPr>
    </w:lvl>
    <w:lvl w:ilvl="5" w:tplc="13E20642" w:tentative="1">
      <w:start w:val="1"/>
      <w:numFmt w:val="bullet"/>
      <w:lvlText w:val=""/>
      <w:lvlJc w:val="left"/>
      <w:pPr>
        <w:tabs>
          <w:tab w:val="num" w:pos="4320"/>
        </w:tabs>
        <w:ind w:left="4320" w:hanging="360"/>
      </w:pPr>
      <w:rPr>
        <w:rFonts w:ascii="Wingdings" w:hAnsi="Wingdings" w:hint="default"/>
      </w:rPr>
    </w:lvl>
    <w:lvl w:ilvl="6" w:tplc="5B3684EA" w:tentative="1">
      <w:start w:val="1"/>
      <w:numFmt w:val="bullet"/>
      <w:lvlText w:val=""/>
      <w:lvlJc w:val="left"/>
      <w:pPr>
        <w:tabs>
          <w:tab w:val="num" w:pos="5040"/>
        </w:tabs>
        <w:ind w:left="5040" w:hanging="360"/>
      </w:pPr>
      <w:rPr>
        <w:rFonts w:ascii="Wingdings" w:hAnsi="Wingdings" w:hint="default"/>
      </w:rPr>
    </w:lvl>
    <w:lvl w:ilvl="7" w:tplc="ADE00060" w:tentative="1">
      <w:start w:val="1"/>
      <w:numFmt w:val="bullet"/>
      <w:lvlText w:val=""/>
      <w:lvlJc w:val="left"/>
      <w:pPr>
        <w:tabs>
          <w:tab w:val="num" w:pos="5760"/>
        </w:tabs>
        <w:ind w:left="5760" w:hanging="360"/>
      </w:pPr>
      <w:rPr>
        <w:rFonts w:ascii="Wingdings" w:hAnsi="Wingdings" w:hint="default"/>
      </w:rPr>
    </w:lvl>
    <w:lvl w:ilvl="8" w:tplc="CF64B5B0" w:tentative="1">
      <w:start w:val="1"/>
      <w:numFmt w:val="bullet"/>
      <w:lvlText w:val=""/>
      <w:lvlJc w:val="left"/>
      <w:pPr>
        <w:tabs>
          <w:tab w:val="num" w:pos="6480"/>
        </w:tabs>
        <w:ind w:left="6480" w:hanging="360"/>
      </w:pPr>
      <w:rPr>
        <w:rFonts w:ascii="Wingdings" w:hAnsi="Wingdings" w:hint="default"/>
      </w:rPr>
    </w:lvl>
  </w:abstractNum>
  <w:abstractNum w:abstractNumId="7">
    <w:nsid w:val="7FAB29AA"/>
    <w:multiLevelType w:val="hybridMultilevel"/>
    <w:tmpl w:val="139A48B0"/>
    <w:styleLink w:val="Estiloimportado1"/>
    <w:lvl w:ilvl="0" w:tplc="D95C354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184746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7847D0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E2E763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D668FB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088DD1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3E26FF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5D6A0A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4C87C2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4"/>
  </w:num>
  <w:num w:numId="3">
    <w:abstractNumId w:val="2"/>
  </w:num>
  <w:num w:numId="4">
    <w:abstractNumId w:val="0"/>
  </w:num>
  <w:num w:numId="5">
    <w:abstractNumId w:val="3"/>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F59ED"/>
    <w:rsid w:val="00007DE2"/>
    <w:rsid w:val="00063C1D"/>
    <w:rsid w:val="0007321A"/>
    <w:rsid w:val="00093388"/>
    <w:rsid w:val="000C4266"/>
    <w:rsid w:val="000D4297"/>
    <w:rsid w:val="000E73CE"/>
    <w:rsid w:val="000E799E"/>
    <w:rsid w:val="000F3ADB"/>
    <w:rsid w:val="00100FCB"/>
    <w:rsid w:val="0011052C"/>
    <w:rsid w:val="001802AC"/>
    <w:rsid w:val="00193904"/>
    <w:rsid w:val="001B5364"/>
    <w:rsid w:val="001C4314"/>
    <w:rsid w:val="002128B7"/>
    <w:rsid w:val="002173B8"/>
    <w:rsid w:val="00226C42"/>
    <w:rsid w:val="002E48BA"/>
    <w:rsid w:val="00302285"/>
    <w:rsid w:val="00304940"/>
    <w:rsid w:val="00326948"/>
    <w:rsid w:val="00361DCD"/>
    <w:rsid w:val="003D74D3"/>
    <w:rsid w:val="00405357"/>
    <w:rsid w:val="0041123E"/>
    <w:rsid w:val="0042360C"/>
    <w:rsid w:val="00430449"/>
    <w:rsid w:val="00457B86"/>
    <w:rsid w:val="004725E0"/>
    <w:rsid w:val="00481B0D"/>
    <w:rsid w:val="00491603"/>
    <w:rsid w:val="004E3B09"/>
    <w:rsid w:val="00521678"/>
    <w:rsid w:val="00522A7E"/>
    <w:rsid w:val="005279EE"/>
    <w:rsid w:val="006024AB"/>
    <w:rsid w:val="0064543F"/>
    <w:rsid w:val="006C18C5"/>
    <w:rsid w:val="006E050F"/>
    <w:rsid w:val="006E511D"/>
    <w:rsid w:val="00720FA5"/>
    <w:rsid w:val="007F59ED"/>
    <w:rsid w:val="00807C16"/>
    <w:rsid w:val="008515C9"/>
    <w:rsid w:val="0086309C"/>
    <w:rsid w:val="00876783"/>
    <w:rsid w:val="008B0CBC"/>
    <w:rsid w:val="008C6987"/>
    <w:rsid w:val="009051CE"/>
    <w:rsid w:val="009476E7"/>
    <w:rsid w:val="0095331C"/>
    <w:rsid w:val="00955224"/>
    <w:rsid w:val="009B6340"/>
    <w:rsid w:val="009C1C0D"/>
    <w:rsid w:val="009F087D"/>
    <w:rsid w:val="00A25F63"/>
    <w:rsid w:val="00A435BD"/>
    <w:rsid w:val="00A53602"/>
    <w:rsid w:val="00AB23A8"/>
    <w:rsid w:val="00AD5D4E"/>
    <w:rsid w:val="00AE1AD1"/>
    <w:rsid w:val="00B176A4"/>
    <w:rsid w:val="00B452AD"/>
    <w:rsid w:val="00BD2932"/>
    <w:rsid w:val="00BE5F40"/>
    <w:rsid w:val="00C554FC"/>
    <w:rsid w:val="00C75F1D"/>
    <w:rsid w:val="00C930CF"/>
    <w:rsid w:val="00CA6248"/>
    <w:rsid w:val="00CB4632"/>
    <w:rsid w:val="00D26323"/>
    <w:rsid w:val="00D7768A"/>
    <w:rsid w:val="00DC0318"/>
    <w:rsid w:val="00DD42EB"/>
    <w:rsid w:val="00DD566D"/>
    <w:rsid w:val="00DF19E7"/>
    <w:rsid w:val="00E43ED9"/>
    <w:rsid w:val="00E5620B"/>
    <w:rsid w:val="00EA48D5"/>
    <w:rsid w:val="00ED205D"/>
    <w:rsid w:val="00EE2AFB"/>
    <w:rsid w:val="00EE7F23"/>
    <w:rsid w:val="00F358F1"/>
    <w:rsid w:val="00F617C4"/>
    <w:rsid w:val="00F656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51CE"/>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051CE"/>
    <w:rPr>
      <w:u w:val="single"/>
    </w:rPr>
  </w:style>
  <w:style w:type="table" w:customStyle="1" w:styleId="TableNormal">
    <w:name w:val="Table Normal"/>
    <w:rsid w:val="009051CE"/>
    <w:tblPr>
      <w:tblInd w:w="0" w:type="dxa"/>
      <w:tblCellMar>
        <w:top w:w="0" w:type="dxa"/>
        <w:left w:w="0" w:type="dxa"/>
        <w:bottom w:w="0" w:type="dxa"/>
        <w:right w:w="0" w:type="dxa"/>
      </w:tblCellMar>
    </w:tblPr>
  </w:style>
  <w:style w:type="paragraph" w:styleId="Encabezado">
    <w:name w:val="header"/>
    <w:rsid w:val="009051CE"/>
    <w:pPr>
      <w:tabs>
        <w:tab w:val="center" w:pos="4419"/>
        <w:tab w:val="right" w:pos="8838"/>
      </w:tabs>
    </w:pPr>
    <w:rPr>
      <w:rFonts w:ascii="Arial" w:hAnsi="Arial" w:cs="Arial Unicode MS"/>
      <w:color w:val="000000"/>
      <w:sz w:val="24"/>
      <w:szCs w:val="24"/>
      <w:u w:color="000000"/>
      <w:lang w:val="es-ES_tradnl"/>
    </w:rPr>
  </w:style>
  <w:style w:type="character" w:customStyle="1" w:styleId="Ninguno">
    <w:name w:val="Ninguno"/>
    <w:rsid w:val="009051CE"/>
    <w:rPr>
      <w:lang w:val="es-ES_tradnl"/>
    </w:rPr>
  </w:style>
  <w:style w:type="paragraph" w:styleId="Piedepgina">
    <w:name w:val="footer"/>
    <w:rsid w:val="009051CE"/>
    <w:pPr>
      <w:tabs>
        <w:tab w:val="center" w:pos="4419"/>
        <w:tab w:val="right" w:pos="8838"/>
      </w:tabs>
    </w:pPr>
    <w:rPr>
      <w:rFonts w:ascii="Arial" w:hAnsi="Arial" w:cs="Arial Unicode MS"/>
      <w:color w:val="000000"/>
      <w:sz w:val="24"/>
      <w:szCs w:val="24"/>
      <w:u w:color="000000"/>
      <w:lang w:val="es-ES_tradnl"/>
    </w:rPr>
  </w:style>
  <w:style w:type="paragraph" w:customStyle="1" w:styleId="Cabeceraypie">
    <w:name w:val="Cabecera y pie"/>
    <w:rsid w:val="009051CE"/>
    <w:pPr>
      <w:tabs>
        <w:tab w:val="right" w:pos="9020"/>
      </w:tabs>
    </w:pPr>
    <w:rPr>
      <w:rFonts w:ascii="Helvetica" w:eastAsia="Helvetica" w:hAnsi="Helvetica" w:cs="Helvetica"/>
      <w:color w:val="000000"/>
      <w:sz w:val="24"/>
      <w:szCs w:val="24"/>
    </w:rPr>
  </w:style>
  <w:style w:type="paragraph" w:customStyle="1" w:styleId="Cuerpo">
    <w:name w:val="Cuerpo"/>
    <w:rsid w:val="009051CE"/>
    <w:rPr>
      <w:rFonts w:ascii="Arial" w:eastAsia="Arial" w:hAnsi="Arial" w:cs="Arial"/>
      <w:color w:val="000000"/>
      <w:sz w:val="24"/>
      <w:szCs w:val="24"/>
      <w:u w:color="000000"/>
    </w:rPr>
  </w:style>
  <w:style w:type="paragraph" w:styleId="Prrafodelista">
    <w:name w:val="List Paragraph"/>
    <w:uiPriority w:val="34"/>
    <w:qFormat/>
    <w:rsid w:val="009051CE"/>
    <w:pPr>
      <w:ind w:left="708"/>
    </w:pPr>
    <w:rPr>
      <w:rFonts w:ascii="Arial" w:hAnsi="Arial" w:cs="Arial Unicode MS"/>
      <w:color w:val="000000"/>
      <w:sz w:val="24"/>
      <w:szCs w:val="24"/>
      <w:u w:color="000000"/>
      <w:lang w:val="es-ES_tradnl"/>
    </w:rPr>
  </w:style>
  <w:style w:type="numbering" w:customStyle="1" w:styleId="Estiloimportado1">
    <w:name w:val="Estilo importado 1"/>
    <w:rsid w:val="009051CE"/>
    <w:pPr>
      <w:numPr>
        <w:numId w:val="1"/>
      </w:numPr>
    </w:pPr>
  </w:style>
  <w:style w:type="paragraph" w:styleId="Textodeglobo">
    <w:name w:val="Balloon Text"/>
    <w:basedOn w:val="Normal"/>
    <w:link w:val="TextodegloboCar"/>
    <w:uiPriority w:val="99"/>
    <w:semiHidden/>
    <w:unhideWhenUsed/>
    <w:rsid w:val="00063C1D"/>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C1D"/>
    <w:rPr>
      <w:rFonts w:ascii="Tahoma" w:hAnsi="Tahoma" w:cs="Tahoma"/>
      <w:sz w:val="16"/>
      <w:szCs w:val="16"/>
      <w:lang w:val="en-US" w:eastAsia="en-US"/>
    </w:rPr>
  </w:style>
  <w:style w:type="paragraph" w:styleId="Textonotapie">
    <w:name w:val="footnote text"/>
    <w:basedOn w:val="Normal"/>
    <w:link w:val="TextonotapieCar"/>
    <w:uiPriority w:val="99"/>
    <w:semiHidden/>
    <w:unhideWhenUsed/>
    <w:rsid w:val="00A53602"/>
    <w:rPr>
      <w:sz w:val="20"/>
      <w:szCs w:val="20"/>
    </w:rPr>
  </w:style>
  <w:style w:type="character" w:customStyle="1" w:styleId="TextonotapieCar">
    <w:name w:val="Texto nota pie Car"/>
    <w:basedOn w:val="Fuentedeprrafopredeter"/>
    <w:link w:val="Textonotapie"/>
    <w:uiPriority w:val="99"/>
    <w:semiHidden/>
    <w:rsid w:val="00A53602"/>
    <w:rPr>
      <w:lang w:val="en-US" w:eastAsia="en-US"/>
    </w:rPr>
  </w:style>
  <w:style w:type="character" w:styleId="Refdenotaalpie">
    <w:name w:val="footnote reference"/>
    <w:basedOn w:val="Fuentedeprrafopredeter"/>
    <w:uiPriority w:val="99"/>
    <w:semiHidden/>
    <w:unhideWhenUsed/>
    <w:rsid w:val="00A53602"/>
    <w:rPr>
      <w:vertAlign w:val="superscript"/>
    </w:rPr>
  </w:style>
  <w:style w:type="table" w:styleId="Tablaconcuadrcula">
    <w:name w:val="Table Grid"/>
    <w:basedOn w:val="Tablanormal"/>
    <w:uiPriority w:val="59"/>
    <w:rsid w:val="0095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edia1-nfasis3">
    <w:name w:val="Medium List 1 Accent 3"/>
    <w:basedOn w:val="Tablanormal"/>
    <w:uiPriority w:val="65"/>
    <w:rsid w:val="006C18C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A7A7A7"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Arial" w:hAnsi="Arial" w:cs="Arial Unicode MS"/>
      <w:color w:val="000000"/>
      <w:sz w:val="24"/>
      <w:szCs w:val="24"/>
      <w:u w:color="000000"/>
      <w:lang w:val="es-ES_tradnl"/>
    </w:rPr>
  </w:style>
  <w:style w:type="character" w:customStyle="1" w:styleId="Ninguno">
    <w:name w:val="Ninguno"/>
    <w:rPr>
      <w:lang w:val="es-ES_tradnl"/>
    </w:rPr>
  </w:style>
  <w:style w:type="paragraph" w:styleId="Piedepgina">
    <w:name w:val="footer"/>
    <w:pPr>
      <w:tabs>
        <w:tab w:val="center" w:pos="4419"/>
        <w:tab w:val="right" w:pos="8838"/>
      </w:tabs>
    </w:pPr>
    <w:rPr>
      <w:rFonts w:ascii="Arial" w:hAnsi="Arial" w:cs="Arial Unicode MS"/>
      <w:color w:val="000000"/>
      <w:sz w:val="24"/>
      <w:szCs w:val="24"/>
      <w:u w:color="000000"/>
      <w:lang w:val="es-ES_tradnl"/>
    </w:r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customStyle="1" w:styleId="Cuerpo">
    <w:name w:val="Cuerpo"/>
    <w:rPr>
      <w:rFonts w:ascii="Arial" w:eastAsia="Arial" w:hAnsi="Arial" w:cs="Arial"/>
      <w:color w:val="000000"/>
      <w:sz w:val="24"/>
      <w:szCs w:val="24"/>
      <w:u w:color="000000"/>
    </w:rPr>
  </w:style>
  <w:style w:type="paragraph" w:styleId="Prrafodelista">
    <w:name w:val="List Paragraph"/>
    <w:uiPriority w:val="34"/>
    <w:qFormat/>
    <w:pPr>
      <w:ind w:left="708"/>
    </w:pPr>
    <w:rPr>
      <w:rFonts w:ascii="Arial" w:hAnsi="Arial" w:cs="Arial Unicode MS"/>
      <w:color w:val="000000"/>
      <w:sz w:val="24"/>
      <w:szCs w:val="24"/>
      <w:u w:color="000000"/>
      <w:lang w:val="es-ES_tradnl"/>
    </w:rPr>
  </w:style>
  <w:style w:type="numbering" w:customStyle="1" w:styleId="Estiloimportado1">
    <w:name w:val="Estilo importado 1"/>
    <w:pPr>
      <w:numPr>
        <w:numId w:val="1"/>
      </w:numPr>
    </w:pPr>
  </w:style>
  <w:style w:type="paragraph" w:styleId="Textodeglobo">
    <w:name w:val="Balloon Text"/>
    <w:basedOn w:val="Normal"/>
    <w:link w:val="TextodegloboCar"/>
    <w:uiPriority w:val="99"/>
    <w:semiHidden/>
    <w:unhideWhenUsed/>
    <w:rsid w:val="00063C1D"/>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C1D"/>
    <w:rPr>
      <w:rFonts w:ascii="Tahoma" w:hAnsi="Tahoma" w:cs="Tahoma"/>
      <w:sz w:val="16"/>
      <w:szCs w:val="16"/>
      <w:lang w:val="en-US" w:eastAsia="en-US"/>
    </w:rPr>
  </w:style>
  <w:style w:type="paragraph" w:styleId="Textonotapie">
    <w:name w:val="footnote text"/>
    <w:basedOn w:val="Normal"/>
    <w:link w:val="TextonotapieCar"/>
    <w:uiPriority w:val="99"/>
    <w:semiHidden/>
    <w:unhideWhenUsed/>
    <w:rsid w:val="00A53602"/>
    <w:rPr>
      <w:sz w:val="20"/>
      <w:szCs w:val="20"/>
    </w:rPr>
  </w:style>
  <w:style w:type="character" w:customStyle="1" w:styleId="TextonotapieCar">
    <w:name w:val="Texto nota pie Car"/>
    <w:basedOn w:val="Fuentedeprrafopredeter"/>
    <w:link w:val="Textonotapie"/>
    <w:uiPriority w:val="99"/>
    <w:semiHidden/>
    <w:rsid w:val="00A53602"/>
    <w:rPr>
      <w:lang w:val="en-US" w:eastAsia="en-US"/>
    </w:rPr>
  </w:style>
  <w:style w:type="character" w:styleId="Refdenotaalpie">
    <w:name w:val="footnote reference"/>
    <w:basedOn w:val="Fuentedeprrafopredeter"/>
    <w:uiPriority w:val="99"/>
    <w:semiHidden/>
    <w:unhideWhenUsed/>
    <w:rsid w:val="00A53602"/>
    <w:rPr>
      <w:vertAlign w:val="superscript"/>
    </w:rPr>
  </w:style>
  <w:style w:type="table" w:styleId="Tablaconcuadrcula">
    <w:name w:val="Table Grid"/>
    <w:basedOn w:val="Tablanormal"/>
    <w:uiPriority w:val="59"/>
    <w:rsid w:val="0095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1-nfasis3">
    <w:name w:val="Medium List 1 Accent 3"/>
    <w:basedOn w:val="Tablanormal"/>
    <w:uiPriority w:val="65"/>
    <w:rsid w:val="006C18C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A7A7A7"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130832623">
      <w:bodyDiv w:val="1"/>
      <w:marLeft w:val="0"/>
      <w:marRight w:val="0"/>
      <w:marTop w:val="0"/>
      <w:marBottom w:val="0"/>
      <w:divBdr>
        <w:top w:val="none" w:sz="0" w:space="0" w:color="auto"/>
        <w:left w:val="none" w:sz="0" w:space="0" w:color="auto"/>
        <w:bottom w:val="none" w:sz="0" w:space="0" w:color="auto"/>
        <w:right w:val="none" w:sz="0" w:space="0" w:color="auto"/>
      </w:divBdr>
    </w:div>
    <w:div w:id="866799765">
      <w:bodyDiv w:val="1"/>
      <w:marLeft w:val="0"/>
      <w:marRight w:val="0"/>
      <w:marTop w:val="0"/>
      <w:marBottom w:val="0"/>
      <w:divBdr>
        <w:top w:val="none" w:sz="0" w:space="0" w:color="auto"/>
        <w:left w:val="none" w:sz="0" w:space="0" w:color="auto"/>
        <w:bottom w:val="none" w:sz="0" w:space="0" w:color="auto"/>
        <w:right w:val="none" w:sz="0" w:space="0" w:color="auto"/>
      </w:divBdr>
      <w:divsChild>
        <w:div w:id="1256208693">
          <w:marLeft w:val="360"/>
          <w:marRight w:val="0"/>
          <w:marTop w:val="91"/>
          <w:marBottom w:val="0"/>
          <w:divBdr>
            <w:top w:val="none" w:sz="0" w:space="0" w:color="auto"/>
            <w:left w:val="none" w:sz="0" w:space="0" w:color="auto"/>
            <w:bottom w:val="none" w:sz="0" w:space="0" w:color="auto"/>
            <w:right w:val="none" w:sz="0" w:space="0" w:color="auto"/>
          </w:divBdr>
        </w:div>
      </w:divsChild>
    </w:div>
    <w:div w:id="1043402097">
      <w:bodyDiv w:val="1"/>
      <w:marLeft w:val="0"/>
      <w:marRight w:val="0"/>
      <w:marTop w:val="0"/>
      <w:marBottom w:val="0"/>
      <w:divBdr>
        <w:top w:val="none" w:sz="0" w:space="0" w:color="auto"/>
        <w:left w:val="none" w:sz="0" w:space="0" w:color="auto"/>
        <w:bottom w:val="none" w:sz="0" w:space="0" w:color="auto"/>
        <w:right w:val="none" w:sz="0" w:space="0" w:color="auto"/>
      </w:divBdr>
      <w:divsChild>
        <w:div w:id="1610816385">
          <w:marLeft w:val="360"/>
          <w:marRight w:val="0"/>
          <w:marTop w:val="91"/>
          <w:marBottom w:val="0"/>
          <w:divBdr>
            <w:top w:val="none" w:sz="0" w:space="0" w:color="auto"/>
            <w:left w:val="none" w:sz="0" w:space="0" w:color="auto"/>
            <w:bottom w:val="none" w:sz="0" w:space="0" w:color="auto"/>
            <w:right w:val="none" w:sz="0" w:space="0" w:color="auto"/>
          </w:divBdr>
        </w:div>
      </w:divsChild>
    </w:div>
    <w:div w:id="1082793662">
      <w:bodyDiv w:val="1"/>
      <w:marLeft w:val="0"/>
      <w:marRight w:val="0"/>
      <w:marTop w:val="0"/>
      <w:marBottom w:val="0"/>
      <w:divBdr>
        <w:top w:val="none" w:sz="0" w:space="0" w:color="auto"/>
        <w:left w:val="none" w:sz="0" w:space="0" w:color="auto"/>
        <w:bottom w:val="none" w:sz="0" w:space="0" w:color="auto"/>
        <w:right w:val="none" w:sz="0" w:space="0" w:color="auto"/>
      </w:divBdr>
    </w:div>
    <w:div w:id="1143035830">
      <w:bodyDiv w:val="1"/>
      <w:marLeft w:val="0"/>
      <w:marRight w:val="0"/>
      <w:marTop w:val="0"/>
      <w:marBottom w:val="0"/>
      <w:divBdr>
        <w:top w:val="none" w:sz="0" w:space="0" w:color="auto"/>
        <w:left w:val="none" w:sz="0" w:space="0" w:color="auto"/>
        <w:bottom w:val="none" w:sz="0" w:space="0" w:color="auto"/>
        <w:right w:val="none" w:sz="0" w:space="0" w:color="auto"/>
      </w:divBdr>
      <w:divsChild>
        <w:div w:id="1281179814">
          <w:marLeft w:val="360"/>
          <w:marRight w:val="0"/>
          <w:marTop w:val="91"/>
          <w:marBottom w:val="0"/>
          <w:divBdr>
            <w:top w:val="none" w:sz="0" w:space="0" w:color="auto"/>
            <w:left w:val="none" w:sz="0" w:space="0" w:color="auto"/>
            <w:bottom w:val="none" w:sz="0" w:space="0" w:color="auto"/>
            <w:right w:val="none" w:sz="0" w:space="0" w:color="auto"/>
          </w:divBdr>
        </w:div>
      </w:divsChild>
    </w:div>
    <w:div w:id="1478689200">
      <w:bodyDiv w:val="1"/>
      <w:marLeft w:val="0"/>
      <w:marRight w:val="0"/>
      <w:marTop w:val="0"/>
      <w:marBottom w:val="0"/>
      <w:divBdr>
        <w:top w:val="none" w:sz="0" w:space="0" w:color="auto"/>
        <w:left w:val="none" w:sz="0" w:space="0" w:color="auto"/>
        <w:bottom w:val="none" w:sz="0" w:space="0" w:color="auto"/>
        <w:right w:val="none" w:sz="0" w:space="0" w:color="auto"/>
      </w:divBdr>
      <w:divsChild>
        <w:div w:id="2002270194">
          <w:marLeft w:val="360"/>
          <w:marRight w:val="0"/>
          <w:marTop w:val="91"/>
          <w:marBottom w:val="0"/>
          <w:divBdr>
            <w:top w:val="none" w:sz="0" w:space="0" w:color="auto"/>
            <w:left w:val="none" w:sz="0" w:space="0" w:color="auto"/>
            <w:bottom w:val="none" w:sz="0" w:space="0" w:color="auto"/>
            <w:right w:val="none" w:sz="0" w:space="0" w:color="auto"/>
          </w:divBdr>
        </w:div>
      </w:divsChild>
    </w:div>
    <w:div w:id="1990209202">
      <w:bodyDiv w:val="1"/>
      <w:marLeft w:val="0"/>
      <w:marRight w:val="0"/>
      <w:marTop w:val="0"/>
      <w:marBottom w:val="0"/>
      <w:divBdr>
        <w:top w:val="none" w:sz="0" w:space="0" w:color="auto"/>
        <w:left w:val="none" w:sz="0" w:space="0" w:color="auto"/>
        <w:bottom w:val="none" w:sz="0" w:space="0" w:color="auto"/>
        <w:right w:val="none" w:sz="0" w:space="0" w:color="auto"/>
      </w:divBdr>
      <w:divsChild>
        <w:div w:id="85461029">
          <w:marLeft w:val="360"/>
          <w:marRight w:val="0"/>
          <w:marTop w:val="9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Enrique\Downloads\Demanda%20de%20medicamentos.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43"/>
  <c:clrMapOvr bg1="lt1" tx1="dk1" bg2="lt2" tx2="dk2" accent1="accent1" accent2="accent2" accent3="accent3" accent4="accent4" accent5="accent5" accent6="accent6" hlink="hlink" folHlink="folHlink"/>
  <c:chart>
    <c:title>
      <c:tx>
        <c:rich>
          <a:bodyPr/>
          <a:lstStyle/>
          <a:p>
            <a:pPr>
              <a:defRPr/>
            </a:pPr>
            <a:r>
              <a:rPr lang="es-ES"/>
              <a:t>%crecimiento de recetas +/-</a:t>
            </a:r>
          </a:p>
        </c:rich>
      </c:tx>
      <c:layout>
        <c:manualLayout>
          <c:xMode val="edge"/>
          <c:yMode val="edge"/>
          <c:x val="0.20803464784293277"/>
          <c:y val="2.777783016643879E-2"/>
        </c:manualLayout>
      </c:layout>
    </c:title>
    <c:plotArea>
      <c:layout>
        <c:manualLayout>
          <c:layoutTarget val="inner"/>
          <c:xMode val="edge"/>
          <c:yMode val="edge"/>
          <c:x val="5.8123386750569217E-2"/>
          <c:y val="0.21795149857764801"/>
          <c:w val="0.90303937007874013"/>
          <c:h val="0.75379593175853066"/>
        </c:manualLayout>
      </c:layout>
      <c:barChart>
        <c:barDir val="col"/>
        <c:grouping val="clustered"/>
        <c:ser>
          <c:idx val="0"/>
          <c:order val="0"/>
          <c:tx>
            <c:strRef>
              <c:f>Hoja1!$B$42</c:f>
              <c:strCache>
                <c:ptCount val="1"/>
                <c:pt idx="0">
                  <c:v>%crecimiento +/-</c:v>
                </c:pt>
              </c:strCache>
            </c:strRef>
          </c:tx>
          <c:spPr>
            <a:solidFill>
              <a:srgbClr val="FFC000"/>
            </a:solidFill>
          </c:spPr>
          <c:dPt>
            <c:idx val="3"/>
            <c:spPr>
              <a:solidFill>
                <a:schemeClr val="accent1"/>
              </a:solidFill>
            </c:spPr>
          </c:dPt>
          <c:dPt>
            <c:idx val="6"/>
            <c:spPr>
              <a:solidFill>
                <a:schemeClr val="accent1"/>
              </a:solidFill>
            </c:spPr>
          </c:dPt>
          <c:dPt>
            <c:idx val="10"/>
            <c:spPr>
              <a:solidFill>
                <a:schemeClr val="accent1"/>
              </a:solidFill>
            </c:spPr>
          </c:dPt>
          <c:dPt>
            <c:idx val="12"/>
            <c:spPr>
              <a:solidFill>
                <a:srgbClr val="0070C0"/>
              </a:solidFill>
            </c:spPr>
          </c:dPt>
          <c:dLbls>
            <c:dLbl>
              <c:idx val="0"/>
              <c:layout>
                <c:manualLayout>
                  <c:x val="8.3333061628166043E-3"/>
                  <c:y val="2.8883964354755065E-3"/>
                </c:manualLayout>
              </c:layout>
              <c:spPr/>
              <c:txPr>
                <a:bodyPr/>
                <a:lstStyle/>
                <a:p>
                  <a:pPr>
                    <a:defRPr/>
                  </a:pPr>
                  <a:endParaRPr lang="es-ES"/>
                </a:p>
              </c:txPr>
              <c:dLblPos val="outEnd"/>
              <c:showVal val="1"/>
            </c:dLbl>
            <c:dLbl>
              <c:idx val="1"/>
              <c:layout>
                <c:manualLayout>
                  <c:x val="0"/>
                  <c:y val="-2.7777777777777801E-2"/>
                </c:manualLayout>
              </c:layout>
              <c:spPr/>
              <c:txPr>
                <a:bodyPr/>
                <a:lstStyle/>
                <a:p>
                  <a:pPr>
                    <a:defRPr/>
                  </a:pPr>
                  <a:endParaRPr lang="es-ES"/>
                </a:p>
              </c:txPr>
              <c:dLblPos val="outEnd"/>
              <c:showVal val="1"/>
            </c:dLbl>
            <c:dLbl>
              <c:idx val="2"/>
              <c:layout>
                <c:manualLayout>
                  <c:x val="8.3333333333333367E-3"/>
                  <c:y val="-0.10195385164233109"/>
                </c:manualLayout>
              </c:layout>
              <c:spPr/>
              <c:txPr>
                <a:bodyPr/>
                <a:lstStyle/>
                <a:p>
                  <a:pPr>
                    <a:defRPr/>
                  </a:pPr>
                  <a:endParaRPr lang="es-ES"/>
                </a:p>
              </c:txPr>
              <c:dLblPos val="outEnd"/>
              <c:showVal val="1"/>
            </c:dLbl>
            <c:dLbl>
              <c:idx val="3"/>
              <c:layout>
                <c:manualLayout>
                  <c:x val="-1.2391962151227912E-4"/>
                  <c:y val="-7.9574701220599883E-3"/>
                </c:manualLayout>
              </c:layout>
              <c:spPr/>
              <c:txPr>
                <a:bodyPr/>
                <a:lstStyle/>
                <a:p>
                  <a:pPr>
                    <a:defRPr/>
                  </a:pPr>
                  <a:endParaRPr lang="es-ES"/>
                </a:p>
              </c:txPr>
              <c:dLblPos val="outEnd"/>
              <c:showVal val="1"/>
            </c:dLbl>
            <c:dLbl>
              <c:idx val="4"/>
              <c:layout>
                <c:manualLayout>
                  <c:x val="2.7778474346757606E-3"/>
                  <c:y val="-1.7801263919679948E-2"/>
                </c:manualLayout>
              </c:layout>
              <c:spPr/>
              <c:txPr>
                <a:bodyPr/>
                <a:lstStyle/>
                <a:p>
                  <a:pPr>
                    <a:defRPr/>
                  </a:pPr>
                  <a:endParaRPr lang="es-ES"/>
                </a:p>
              </c:txPr>
              <c:dLblPos val="outEnd"/>
              <c:showVal val="1"/>
            </c:dLbl>
            <c:dLbl>
              <c:idx val="5"/>
              <c:layout>
                <c:manualLayout>
                  <c:x val="1.2391962151232777E-4"/>
                  <c:y val="8.2237596514028021E-3"/>
                </c:manualLayout>
              </c:layout>
              <c:spPr/>
              <c:txPr>
                <a:bodyPr/>
                <a:lstStyle/>
                <a:p>
                  <a:pPr>
                    <a:defRPr/>
                  </a:pPr>
                  <a:endParaRPr lang="es-ES"/>
                </a:p>
              </c:txPr>
              <c:dLblPos val="outEnd"/>
              <c:showVal val="1"/>
            </c:dLbl>
            <c:dLbl>
              <c:idx val="6"/>
              <c:layout>
                <c:manualLayout>
                  <c:x val="1.2368019214989442E-4"/>
                  <c:y val="-0.10120986373709275"/>
                </c:manualLayout>
              </c:layout>
              <c:spPr/>
              <c:txPr>
                <a:bodyPr/>
                <a:lstStyle/>
                <a:p>
                  <a:pPr>
                    <a:defRPr/>
                  </a:pPr>
                  <a:endParaRPr lang="es-ES"/>
                </a:p>
              </c:txPr>
              <c:dLblPos val="outEnd"/>
              <c:showVal val="1"/>
            </c:dLbl>
            <c:dLbl>
              <c:idx val="7"/>
              <c:layout>
                <c:manualLayout>
                  <c:x val="2.4757774843361984E-4"/>
                  <c:y val="-1.0471969446932908E-2"/>
                </c:manualLayout>
              </c:layout>
              <c:spPr/>
              <c:txPr>
                <a:bodyPr/>
                <a:lstStyle/>
                <a:p>
                  <a:pPr>
                    <a:defRPr/>
                  </a:pPr>
                  <a:endParaRPr lang="es-ES"/>
                </a:p>
              </c:txPr>
              <c:dLblPos val="outEnd"/>
              <c:showVal val="1"/>
            </c:dLbl>
            <c:dLbl>
              <c:idx val="8"/>
              <c:layout>
                <c:manualLayout>
                  <c:x val="0"/>
                  <c:y val="-0.11388938658116836"/>
                </c:manualLayout>
              </c:layout>
              <c:spPr/>
              <c:txPr>
                <a:bodyPr/>
                <a:lstStyle/>
                <a:p>
                  <a:pPr>
                    <a:defRPr/>
                  </a:pPr>
                  <a:endParaRPr lang="es-ES"/>
                </a:p>
              </c:txPr>
              <c:dLblPos val="outEnd"/>
              <c:showVal val="1"/>
            </c:dLbl>
            <c:dLbl>
              <c:idx val="9"/>
              <c:layout>
                <c:manualLayout>
                  <c:x val="-2.4959923487824914E-3"/>
                  <c:y val="-9.2391280431263448E-2"/>
                </c:manualLayout>
              </c:layout>
              <c:spPr/>
              <c:txPr>
                <a:bodyPr/>
                <a:lstStyle/>
                <a:p>
                  <a:pPr>
                    <a:defRPr/>
                  </a:pPr>
                  <a:endParaRPr lang="es-ES"/>
                </a:p>
              </c:txPr>
              <c:dLblPos val="outEnd"/>
              <c:showVal val="1"/>
            </c:dLbl>
            <c:dLbl>
              <c:idx val="10"/>
              <c:layout>
                <c:manualLayout>
                  <c:x val="2.7777777777777809E-3"/>
                  <c:y val="-9.2588947214931449E-3"/>
                </c:manualLayout>
              </c:layout>
              <c:spPr/>
              <c:txPr>
                <a:bodyPr/>
                <a:lstStyle/>
                <a:p>
                  <a:pPr>
                    <a:defRPr/>
                  </a:pPr>
                  <a:endParaRPr lang="es-ES"/>
                </a:p>
              </c:txPr>
              <c:dLblPos val="outEnd"/>
              <c:showVal val="1"/>
            </c:dLbl>
            <c:dLbl>
              <c:idx val="11"/>
              <c:layout>
                <c:manualLayout>
                  <c:x val="1.4085195872255105E-4"/>
                  <c:y val="-4.1595549059361595E-2"/>
                </c:manualLayout>
              </c:layout>
              <c:spPr/>
              <c:txPr>
                <a:bodyPr/>
                <a:lstStyle/>
                <a:p>
                  <a:pPr>
                    <a:defRPr/>
                  </a:pPr>
                  <a:endParaRPr lang="es-ES"/>
                </a:p>
              </c:txPr>
              <c:dLblPos val="outEnd"/>
              <c:showVal val="1"/>
            </c:dLbl>
            <c:dLbl>
              <c:idx val="12"/>
              <c:layout>
                <c:manualLayout>
                  <c:x val="-8.3161343962439606E-3"/>
                  <c:y val="-4.6288525311581558E-3"/>
                </c:manualLayout>
              </c:layout>
              <c:spPr/>
              <c:txPr>
                <a:bodyPr/>
                <a:lstStyle/>
                <a:p>
                  <a:pPr>
                    <a:defRPr/>
                  </a:pPr>
                  <a:endParaRPr lang="es-ES"/>
                </a:p>
              </c:txPr>
              <c:dLblPos val="outEnd"/>
              <c:showVal val="1"/>
            </c:dLbl>
            <c:dLbl>
              <c:idx val="13"/>
              <c:layout>
                <c:manualLayout>
                  <c:x val="0"/>
                  <c:y val="-1.3888524351122786E-2"/>
                </c:manualLayout>
              </c:layout>
              <c:spPr/>
              <c:txPr>
                <a:bodyPr/>
                <a:lstStyle/>
                <a:p>
                  <a:pPr>
                    <a:defRPr/>
                  </a:pPr>
                  <a:endParaRPr lang="es-ES"/>
                </a:p>
              </c:txPr>
              <c:dLblPos val="outEnd"/>
              <c:showVal val="1"/>
            </c:dLbl>
            <c:dLbl>
              <c:idx val="14"/>
              <c:layout>
                <c:manualLayout>
                  <c:x val="-2.6539278131634827E-3"/>
                  <c:y val="-6.2567209438625954E-2"/>
                </c:manualLayout>
              </c:layout>
              <c:spPr/>
              <c:txPr>
                <a:bodyPr/>
                <a:lstStyle/>
                <a:p>
                  <a:pPr>
                    <a:defRPr/>
                  </a:pPr>
                  <a:endParaRPr lang="es-ES"/>
                </a:p>
              </c:txPr>
              <c:dLblPos val="outEnd"/>
              <c:showVal val="1"/>
            </c:dLbl>
            <c:showVal val="1"/>
          </c:dLbls>
          <c:cat>
            <c:strRef>
              <c:f>Hoja1!$A$89:$A$101</c:f>
              <c:strCache>
                <c:ptCount val="13"/>
                <c:pt idx="0">
                  <c:v>Abril</c:v>
                </c:pt>
                <c:pt idx="1">
                  <c:v>Mayo</c:v>
                </c:pt>
                <c:pt idx="2">
                  <c:v>Junio </c:v>
                </c:pt>
                <c:pt idx="3">
                  <c:v>Julio</c:v>
                </c:pt>
                <c:pt idx="4">
                  <c:v>Agosto </c:v>
                </c:pt>
                <c:pt idx="5">
                  <c:v>Septiembre</c:v>
                </c:pt>
                <c:pt idx="6">
                  <c:v>Octubre</c:v>
                </c:pt>
                <c:pt idx="7">
                  <c:v>Noviembre</c:v>
                </c:pt>
                <c:pt idx="8">
                  <c:v>Diciembre</c:v>
                </c:pt>
                <c:pt idx="9">
                  <c:v>Enero</c:v>
                </c:pt>
                <c:pt idx="10">
                  <c:v>Febrero</c:v>
                </c:pt>
                <c:pt idx="11">
                  <c:v>Marzo</c:v>
                </c:pt>
                <c:pt idx="12">
                  <c:v>Abril</c:v>
                </c:pt>
              </c:strCache>
            </c:strRef>
          </c:cat>
          <c:val>
            <c:numRef>
              <c:f>Hoja1!$B$89:$B$101</c:f>
              <c:numCache>
                <c:formatCode>General</c:formatCode>
                <c:ptCount val="13"/>
                <c:pt idx="0">
                  <c:v>3.25</c:v>
                </c:pt>
                <c:pt idx="1">
                  <c:v>5.42</c:v>
                </c:pt>
                <c:pt idx="2">
                  <c:v>3.46</c:v>
                </c:pt>
                <c:pt idx="3">
                  <c:v>-2.69</c:v>
                </c:pt>
                <c:pt idx="4">
                  <c:v>8.360000000000003</c:v>
                </c:pt>
                <c:pt idx="5">
                  <c:v>1.6</c:v>
                </c:pt>
                <c:pt idx="6">
                  <c:v>-1.07</c:v>
                </c:pt>
                <c:pt idx="7">
                  <c:v>4.8199999999999985</c:v>
                </c:pt>
                <c:pt idx="8">
                  <c:v>1.4</c:v>
                </c:pt>
                <c:pt idx="9">
                  <c:v>6.6</c:v>
                </c:pt>
                <c:pt idx="10">
                  <c:v>-4.57</c:v>
                </c:pt>
                <c:pt idx="11">
                  <c:v>3.38</c:v>
                </c:pt>
                <c:pt idx="12">
                  <c:v>-4.6599999999999984</c:v>
                </c:pt>
              </c:numCache>
            </c:numRef>
          </c:val>
        </c:ser>
        <c:gapWidth val="46"/>
        <c:axId val="78149504"/>
        <c:axId val="78151040"/>
      </c:barChart>
      <c:catAx>
        <c:axId val="78149504"/>
        <c:scaling>
          <c:orientation val="minMax"/>
        </c:scaling>
        <c:axPos val="b"/>
        <c:numFmt formatCode="General" sourceLinked="1"/>
        <c:tickLblPos val="nextTo"/>
        <c:txPr>
          <a:bodyPr rot="-5400000" vert="horz"/>
          <a:lstStyle/>
          <a:p>
            <a:pPr>
              <a:defRPr/>
            </a:pPr>
            <a:endParaRPr lang="es-ES"/>
          </a:p>
        </c:txPr>
        <c:crossAx val="78151040"/>
        <c:crosses val="autoZero"/>
        <c:auto val="1"/>
        <c:lblAlgn val="ctr"/>
        <c:lblOffset val="100"/>
      </c:catAx>
      <c:valAx>
        <c:axId val="78151040"/>
        <c:scaling>
          <c:orientation val="minMax"/>
        </c:scaling>
        <c:axPos val="l"/>
        <c:majorGridlines/>
        <c:numFmt formatCode="General" sourceLinked="1"/>
        <c:tickLblPos val="nextTo"/>
        <c:crossAx val="78149504"/>
        <c:crosses val="autoZero"/>
        <c:crossBetween val="between"/>
      </c:valAx>
    </c:plotArea>
    <c:plotVisOnly val="1"/>
    <c:dispBlanksAs val="gap"/>
  </c:chart>
  <c:externalData r:id="rId2"/>
</c:chartSpace>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945F1-CCD5-4A92-8CA0-254CBD8C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12</Pages>
  <Words>3273</Words>
  <Characters>18005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dc:creator>
  <cp:lastModifiedBy>Monica</cp:lastModifiedBy>
  <cp:revision>4</cp:revision>
  <dcterms:created xsi:type="dcterms:W3CDTF">2017-06-05T04:43:00Z</dcterms:created>
  <dcterms:modified xsi:type="dcterms:W3CDTF">2017-06-06T04:51:00Z</dcterms:modified>
</cp:coreProperties>
</file>