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B0" w:rsidRDefault="006908B0">
      <w:pPr>
        <w:rPr>
          <w:rFonts w:ascii="Arial Black" w:hAnsi="Arial Black"/>
          <w:color w:val="008080"/>
          <w:sz w:val="28"/>
          <w:szCs w:val="28"/>
        </w:rPr>
      </w:pPr>
    </w:p>
    <w:p w:rsidR="00EA0053" w:rsidRDefault="00EA0053">
      <w:pPr>
        <w:rPr>
          <w:rFonts w:ascii="Arial Black" w:hAnsi="Arial Black"/>
          <w:color w:val="008080"/>
          <w:sz w:val="28"/>
          <w:szCs w:val="28"/>
        </w:rPr>
      </w:pPr>
    </w:p>
    <w:p w:rsidR="00EA0053" w:rsidRDefault="00EA0053">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rFonts w:ascii="Arial Black" w:hAnsi="Arial Black"/>
          <w:color w:val="008080"/>
          <w:sz w:val="28"/>
          <w:szCs w:val="28"/>
        </w:rPr>
      </w:pPr>
    </w:p>
    <w:p w:rsidR="006908B0" w:rsidRDefault="003D21CD">
      <w:pPr>
        <w:rPr>
          <w:rFonts w:ascii="Arial Black" w:hAnsi="Arial Black"/>
          <w:color w:val="008080"/>
          <w:sz w:val="28"/>
          <w:szCs w:val="28"/>
        </w:rPr>
      </w:pPr>
      <w:r>
        <w:rPr>
          <w:noProof/>
        </w:rPr>
        <w:drawing>
          <wp:anchor distT="0" distB="0" distL="114300" distR="114300" simplePos="0" relativeHeight="251656192" behindDoc="0" locked="0" layoutInCell="1" allowOverlap="1">
            <wp:simplePos x="0" y="0"/>
            <wp:positionH relativeFrom="column">
              <wp:posOffset>1828800</wp:posOffset>
            </wp:positionH>
            <wp:positionV relativeFrom="paragraph">
              <wp:posOffset>165735</wp:posOffset>
            </wp:positionV>
            <wp:extent cx="1699260" cy="1546860"/>
            <wp:effectExtent l="0" t="0" r="0" b="0"/>
            <wp:wrapSquare wrapText="bothSides"/>
            <wp:docPr id="2" name="Imagen 5" descr="Logo F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F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1546860"/>
                    </a:xfrm>
                    <a:prstGeom prst="rect">
                      <a:avLst/>
                    </a:prstGeom>
                    <a:noFill/>
                  </pic:spPr>
                </pic:pic>
              </a:graphicData>
            </a:graphic>
          </wp:anchor>
        </w:drawing>
      </w: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rsidP="009E4E04">
      <w:pPr>
        <w:jc w:val="center"/>
        <w:rPr>
          <w:rFonts w:ascii="Arial Black" w:hAnsi="Arial Black"/>
          <w:color w:val="008080"/>
          <w:sz w:val="32"/>
          <w:szCs w:val="32"/>
        </w:rPr>
      </w:pP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 xml:space="preserve">OBSERVATORIO </w:t>
      </w: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DEL</w:t>
      </w:r>
    </w:p>
    <w:p w:rsidR="006908B0" w:rsidRDefault="006908B0" w:rsidP="009E4E04">
      <w:pPr>
        <w:jc w:val="center"/>
        <w:rPr>
          <w:rFonts w:ascii="Arial Black" w:hAnsi="Arial Black"/>
          <w:color w:val="008080"/>
          <w:sz w:val="32"/>
          <w:szCs w:val="32"/>
        </w:rPr>
      </w:pPr>
      <w:r w:rsidRPr="00071545">
        <w:rPr>
          <w:rFonts w:ascii="Arial Black" w:hAnsi="Arial Black"/>
          <w:color w:val="008080"/>
          <w:sz w:val="32"/>
          <w:szCs w:val="32"/>
        </w:rPr>
        <w:t>MEDICAMENTO</w:t>
      </w: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Pr="00071545" w:rsidRDefault="008F49C2" w:rsidP="009E4E04">
      <w:pPr>
        <w:jc w:val="right"/>
        <w:rPr>
          <w:rFonts w:ascii="Arial Black" w:hAnsi="Arial Black"/>
          <w:color w:val="008080"/>
        </w:rPr>
      </w:pPr>
      <w:r>
        <w:rPr>
          <w:rFonts w:ascii="Arial Black" w:hAnsi="Arial Black"/>
          <w:color w:val="008080"/>
        </w:rPr>
        <w:t>Junio</w:t>
      </w:r>
      <w:r w:rsidR="006908B0">
        <w:rPr>
          <w:rFonts w:ascii="Arial Black" w:hAnsi="Arial Black"/>
          <w:color w:val="008080"/>
        </w:rPr>
        <w:t xml:space="preserve"> 201</w:t>
      </w:r>
      <w:r w:rsidR="007F27E6">
        <w:rPr>
          <w:rFonts w:ascii="Arial Black" w:hAnsi="Arial Black"/>
          <w:color w:val="008080"/>
        </w:rPr>
        <w:t>7</w:t>
      </w:r>
    </w:p>
    <w:p w:rsidR="006908B0" w:rsidRDefault="006908B0">
      <w:pPr>
        <w:rPr>
          <w:rFonts w:ascii="Arial Black" w:hAnsi="Arial Black"/>
          <w:color w:val="008080"/>
          <w:sz w:val="28"/>
          <w:szCs w:val="28"/>
        </w:rPr>
      </w:pPr>
    </w:p>
    <w:p w:rsidR="00E03B22" w:rsidRDefault="00E03B22">
      <w:pPr>
        <w:rPr>
          <w:rFonts w:ascii="Arial Black" w:hAnsi="Arial Black"/>
          <w:color w:val="008080"/>
          <w:sz w:val="28"/>
          <w:szCs w:val="28"/>
        </w:rPr>
      </w:pPr>
    </w:p>
    <w:p w:rsidR="006908B0" w:rsidRDefault="006908B0">
      <w:pPr>
        <w:rPr>
          <w:rFonts w:ascii="Arial Black" w:hAnsi="Arial Black"/>
          <w:color w:val="008080"/>
          <w:sz w:val="28"/>
          <w:szCs w:val="28"/>
        </w:rPr>
      </w:pPr>
      <w:r>
        <w:rPr>
          <w:rFonts w:ascii="Arial Black" w:hAnsi="Arial Black"/>
          <w:color w:val="008080"/>
          <w:sz w:val="28"/>
          <w:szCs w:val="28"/>
        </w:rPr>
        <w:lastRenderedPageBreak/>
        <w:t>Observatorio del Medicamento</w:t>
      </w:r>
    </w:p>
    <w:p w:rsidR="006908B0" w:rsidRPr="00861A36" w:rsidRDefault="006908B0" w:rsidP="009E4E04">
      <w:pPr>
        <w:jc w:val="both"/>
        <w:rPr>
          <w:sz w:val="22"/>
        </w:rPr>
      </w:pPr>
    </w:p>
    <w:p w:rsidR="00540C9D" w:rsidRPr="00890D02" w:rsidRDefault="006908B0" w:rsidP="009E4E04">
      <w:pPr>
        <w:jc w:val="both"/>
      </w:pPr>
      <w:r w:rsidRPr="00890D02">
        <w:t>Los datos de consumo de medicamentos</w:t>
      </w:r>
      <w:r w:rsidR="00D21699" w:rsidRPr="00890D02">
        <w:t xml:space="preserve"> facilitados por el Ministerio de Sanidad, Servicios Sociales e Igualdad</w:t>
      </w:r>
      <w:r w:rsidRPr="00890D02">
        <w:t xml:space="preserve">, </w:t>
      </w:r>
      <w:r w:rsidR="00D21699" w:rsidRPr="00890D02">
        <w:t xml:space="preserve">que </w:t>
      </w:r>
      <w:r w:rsidR="004F5782" w:rsidRPr="00890D02">
        <w:t>se dieron a conoce</w:t>
      </w:r>
      <w:r w:rsidR="001B5E7A" w:rsidRPr="00890D02">
        <w:t>r</w:t>
      </w:r>
      <w:r w:rsidR="00E71A96" w:rsidRPr="00890D02">
        <w:t xml:space="preserve"> </w:t>
      </w:r>
      <w:r w:rsidR="001B5E7A" w:rsidRPr="00890D02">
        <w:t xml:space="preserve">el día </w:t>
      </w:r>
      <w:r w:rsidR="00427DA0">
        <w:t>31</w:t>
      </w:r>
      <w:r w:rsidR="003D0856" w:rsidRPr="00890D02">
        <w:t xml:space="preserve"> de </w:t>
      </w:r>
      <w:r w:rsidR="00986B43" w:rsidRPr="00890D02">
        <w:t>ju</w:t>
      </w:r>
      <w:r w:rsidR="00427DA0">
        <w:t>l</w:t>
      </w:r>
      <w:r w:rsidR="00986B43" w:rsidRPr="00890D02">
        <w:t>i</w:t>
      </w:r>
      <w:r w:rsidR="00874967" w:rsidRPr="00890D02">
        <w:t>o</w:t>
      </w:r>
      <w:r w:rsidR="00D23BE3" w:rsidRPr="00890D02">
        <w:t xml:space="preserve"> </w:t>
      </w:r>
      <w:r w:rsidR="005A0196" w:rsidRPr="00890D02">
        <w:t xml:space="preserve">de </w:t>
      </w:r>
      <w:r w:rsidR="004F7158" w:rsidRPr="00890D02">
        <w:t>2017</w:t>
      </w:r>
      <w:r w:rsidR="004F5782" w:rsidRPr="00890D02">
        <w:t>,</w:t>
      </w:r>
      <w:r w:rsidR="00D21699" w:rsidRPr="00890D02">
        <w:t xml:space="preserve"> </w:t>
      </w:r>
      <w:r w:rsidR="00465FEC" w:rsidRPr="00890D02">
        <w:t>indican</w:t>
      </w:r>
      <w:r w:rsidR="00DA49A4" w:rsidRPr="00890D02">
        <w:t xml:space="preserve"> que en el mes de </w:t>
      </w:r>
      <w:r w:rsidR="00EB6A22">
        <w:t>junio</w:t>
      </w:r>
      <w:r w:rsidR="00DA49A4" w:rsidRPr="00890D02">
        <w:t xml:space="preserve"> </w:t>
      </w:r>
      <w:r w:rsidR="00EA065B" w:rsidRPr="00890D02">
        <w:t xml:space="preserve">se </w:t>
      </w:r>
      <w:r w:rsidR="00DA49A4" w:rsidRPr="00890D02">
        <w:t>ha producido un</w:t>
      </w:r>
      <w:r w:rsidR="009B1400" w:rsidRPr="00890D02">
        <w:t xml:space="preserve"> </w:t>
      </w:r>
      <w:r w:rsidR="00427DA0">
        <w:t xml:space="preserve">ligero </w:t>
      </w:r>
      <w:r w:rsidR="00506ED1" w:rsidRPr="00890D02">
        <w:t xml:space="preserve"> aumento </w:t>
      </w:r>
      <w:r w:rsidR="00427DA0">
        <w:t>del gasto, un ligero retroceso en el número de recetas consumidas</w:t>
      </w:r>
      <w:r w:rsidR="009B1400" w:rsidRPr="00890D02">
        <w:t xml:space="preserve">, </w:t>
      </w:r>
      <w:r w:rsidR="00506ED1" w:rsidRPr="00890D02">
        <w:t>así como</w:t>
      </w:r>
      <w:r w:rsidR="00263142" w:rsidRPr="00890D02">
        <w:t xml:space="preserve"> un aumento </w:t>
      </w:r>
      <w:r w:rsidR="00506ED1" w:rsidRPr="00890D02">
        <w:t>en el gasto medio de las recetas</w:t>
      </w:r>
      <w:r w:rsidR="00540C9D" w:rsidRPr="00890D02">
        <w:t>.</w:t>
      </w:r>
      <w:r w:rsidR="00C70770" w:rsidRPr="00890D02">
        <w:t xml:space="preserve"> </w:t>
      </w:r>
    </w:p>
    <w:p w:rsidR="009943B5" w:rsidRPr="00890D02" w:rsidRDefault="009943B5" w:rsidP="009E4E04">
      <w:pPr>
        <w:jc w:val="both"/>
      </w:pPr>
    </w:p>
    <w:p w:rsidR="00157BB5" w:rsidRPr="00890D02" w:rsidRDefault="00823271" w:rsidP="009E4E04">
      <w:pPr>
        <w:jc w:val="both"/>
        <w:rPr>
          <w:b/>
        </w:rPr>
      </w:pPr>
      <w:r w:rsidRPr="00890D02">
        <w:t xml:space="preserve">En este mes </w:t>
      </w:r>
      <w:r w:rsidR="00F377C0" w:rsidRPr="00890D02">
        <w:t>continúa produciéndose</w:t>
      </w:r>
      <w:r w:rsidR="00540C9D" w:rsidRPr="00890D02">
        <w:t xml:space="preserve"> </w:t>
      </w:r>
      <w:r w:rsidR="00C70770" w:rsidRPr="00890D02">
        <w:t xml:space="preserve">un </w:t>
      </w:r>
      <w:r w:rsidR="002349C4" w:rsidRPr="00890D02">
        <w:t>aumento del gasto en el acumulad</w:t>
      </w:r>
      <w:r w:rsidR="00311708" w:rsidRPr="00890D02">
        <w:t xml:space="preserve">o interanual, ya que pasa de </w:t>
      </w:r>
      <w:r w:rsidR="005B2D00" w:rsidRPr="00890D02">
        <w:t>9.</w:t>
      </w:r>
      <w:r w:rsidR="004F7158" w:rsidRPr="00890D02">
        <w:t>7</w:t>
      </w:r>
      <w:r w:rsidR="00427DA0">
        <w:t>52,5</w:t>
      </w:r>
      <w:r w:rsidR="00C70770" w:rsidRPr="00890D02">
        <w:t xml:space="preserve"> </w:t>
      </w:r>
      <w:r w:rsidR="002349C4" w:rsidRPr="00890D02">
        <w:t>millones en el año 201</w:t>
      </w:r>
      <w:r w:rsidR="004F7158" w:rsidRPr="00890D02">
        <w:t>6</w:t>
      </w:r>
      <w:r w:rsidR="002349C4" w:rsidRPr="00890D02">
        <w:t xml:space="preserve"> a </w:t>
      </w:r>
      <w:r w:rsidR="004F7158" w:rsidRPr="00890D02">
        <w:t>10.0</w:t>
      </w:r>
      <w:r w:rsidR="00427DA0">
        <w:t>37</w:t>
      </w:r>
      <w:r w:rsidR="008E2B59" w:rsidRPr="00890D02">
        <w:t xml:space="preserve"> </w:t>
      </w:r>
      <w:r w:rsidR="002349C4" w:rsidRPr="00890D02">
        <w:t>millones en el</w:t>
      </w:r>
      <w:r w:rsidR="00513CCC" w:rsidRPr="00890D02">
        <w:t xml:space="preserve"> mes de </w:t>
      </w:r>
      <w:r w:rsidR="00EB6A22">
        <w:t>junio</w:t>
      </w:r>
      <w:r w:rsidR="00753608" w:rsidRPr="00890D02">
        <w:t xml:space="preserve"> del año </w:t>
      </w:r>
      <w:r w:rsidR="004F7158" w:rsidRPr="00890D02">
        <w:t>2017</w:t>
      </w:r>
      <w:r w:rsidR="00BC4540" w:rsidRPr="00890D02">
        <w:t xml:space="preserve">, lo que </w:t>
      </w:r>
      <w:r w:rsidR="00753608" w:rsidRPr="00890D02">
        <w:t xml:space="preserve">confirma </w:t>
      </w:r>
      <w:r w:rsidR="00BC4540" w:rsidRPr="00890D02">
        <w:t>la idea de</w:t>
      </w:r>
      <w:r w:rsidR="005932D7" w:rsidRPr="00890D02">
        <w:t xml:space="preserve"> que hasta es</w:t>
      </w:r>
      <w:r w:rsidR="00EA065B" w:rsidRPr="00890D02">
        <w:t>t</w:t>
      </w:r>
      <w:r w:rsidR="005932D7" w:rsidRPr="00890D02">
        <w:t>e momento se está produciendo una recuperación del mercado</w:t>
      </w:r>
      <w:r w:rsidR="008235D4" w:rsidRPr="00890D02">
        <w:t>,</w:t>
      </w:r>
      <w:r w:rsidR="005A0196" w:rsidRPr="00890D02">
        <w:t xml:space="preserve"> de forma </w:t>
      </w:r>
      <w:r w:rsidR="005B2D00" w:rsidRPr="00890D02">
        <w:t>persistente</w:t>
      </w:r>
      <w:r w:rsidR="00F9197D" w:rsidRPr="00890D02">
        <w:t xml:space="preserve">, </w:t>
      </w:r>
      <w:r w:rsidR="005B2D00" w:rsidRPr="00890D02">
        <w:t>aunque</w:t>
      </w:r>
      <w:r w:rsidR="00F9197D" w:rsidRPr="00890D02">
        <w:t xml:space="preserve"> la caída desde el año 2010 es superior al 2</w:t>
      </w:r>
      <w:r w:rsidR="005B2D00" w:rsidRPr="00890D02">
        <w:t>0</w:t>
      </w:r>
      <w:r w:rsidR="00F9197D" w:rsidRPr="00890D02">
        <w:t>%</w:t>
      </w:r>
      <w:r w:rsidR="002349C4" w:rsidRPr="00890D02">
        <w:t>.</w:t>
      </w:r>
      <w:r w:rsidR="004457B5" w:rsidRPr="00890D02">
        <w:t xml:space="preserve"> </w:t>
      </w:r>
      <w:r w:rsidR="004457B5" w:rsidRPr="00890D02">
        <w:rPr>
          <w:b/>
        </w:rPr>
        <w:t xml:space="preserve">El aumento actual de </w:t>
      </w:r>
      <w:r w:rsidR="00E342CB" w:rsidRPr="00890D02">
        <w:rPr>
          <w:b/>
        </w:rPr>
        <w:t xml:space="preserve"> </w:t>
      </w:r>
      <w:r w:rsidR="00427DA0">
        <w:rPr>
          <w:b/>
        </w:rPr>
        <w:t>285</w:t>
      </w:r>
      <w:r w:rsidR="00275208" w:rsidRPr="00890D02">
        <w:rPr>
          <w:b/>
        </w:rPr>
        <w:t xml:space="preserve"> </w:t>
      </w:r>
      <w:r w:rsidR="00505866" w:rsidRPr="00890D02">
        <w:rPr>
          <w:b/>
        </w:rPr>
        <w:t>millones</w:t>
      </w:r>
      <w:r w:rsidR="00F602D2" w:rsidRPr="00890D02">
        <w:rPr>
          <w:b/>
        </w:rPr>
        <w:t xml:space="preserve"> </w:t>
      </w:r>
      <w:r w:rsidR="00D23BE3" w:rsidRPr="00890D02">
        <w:rPr>
          <w:b/>
        </w:rPr>
        <w:t xml:space="preserve">solo </w:t>
      </w:r>
      <w:r w:rsidR="008313BD" w:rsidRPr="00890D02">
        <w:rPr>
          <w:b/>
        </w:rPr>
        <w:t>se ha visto afectado por</w:t>
      </w:r>
      <w:r w:rsidR="00D23BE3" w:rsidRPr="00890D02">
        <w:rPr>
          <w:b/>
        </w:rPr>
        <w:t xml:space="preserve"> la modificación de los precios de referencia</w:t>
      </w:r>
      <w:r w:rsidR="00427DA0">
        <w:rPr>
          <w:b/>
        </w:rPr>
        <w:t xml:space="preserve"> del año anterior</w:t>
      </w:r>
      <w:r w:rsidR="00843B27">
        <w:rPr>
          <w:b/>
        </w:rPr>
        <w:t>,</w:t>
      </w:r>
      <w:r w:rsidR="00D23BE3" w:rsidRPr="00890D02">
        <w:rPr>
          <w:b/>
        </w:rPr>
        <w:t xml:space="preserve"> </w:t>
      </w:r>
      <w:r w:rsidR="009943B5" w:rsidRPr="00890D02">
        <w:rPr>
          <w:b/>
        </w:rPr>
        <w:t>y los cambios en la aportación de los beneficiarios implantados en algunas Comunidades Autónomas</w:t>
      </w:r>
      <w:r w:rsidR="00F602D2" w:rsidRPr="00890D02">
        <w:rPr>
          <w:b/>
        </w:rPr>
        <w:t>.</w:t>
      </w:r>
    </w:p>
    <w:p w:rsidR="00165F70" w:rsidRPr="00890D02" w:rsidRDefault="00165F70" w:rsidP="009E4E04">
      <w:pPr>
        <w:jc w:val="both"/>
        <w:rPr>
          <w:b/>
        </w:rPr>
      </w:pPr>
    </w:p>
    <w:p w:rsidR="004C6585" w:rsidRPr="004C6585" w:rsidRDefault="004C6585" w:rsidP="004C6585">
      <w:pPr>
        <w:jc w:val="both"/>
      </w:pPr>
      <w:r>
        <w:rPr>
          <w:b/>
        </w:rPr>
        <w:t>En este observatorio se hace un estudio panorámico</w:t>
      </w:r>
      <w:r w:rsidR="00427DA0">
        <w:rPr>
          <w:b/>
        </w:rPr>
        <w:t xml:space="preserve"> y de evolución </w:t>
      </w:r>
      <w:r>
        <w:rPr>
          <w:b/>
        </w:rPr>
        <w:t>del mercado total de medicamentos</w:t>
      </w:r>
      <w:r w:rsidR="00843B27">
        <w:rPr>
          <w:b/>
        </w:rPr>
        <w:t>,</w:t>
      </w:r>
      <w:r>
        <w:rPr>
          <w:b/>
        </w:rPr>
        <w:t xml:space="preserve"> </w:t>
      </w:r>
      <w:r w:rsidR="00843B27">
        <w:rPr>
          <w:b/>
        </w:rPr>
        <w:t>de</w:t>
      </w:r>
      <w:r>
        <w:rPr>
          <w:b/>
        </w:rPr>
        <w:t xml:space="preserve"> otros productos sanitarios y de cuidado personal en 2016. </w:t>
      </w:r>
      <w:r w:rsidR="00427DA0" w:rsidRPr="00427DA0">
        <w:t>E</w:t>
      </w:r>
      <w:r w:rsidRPr="00427DA0">
        <w:t>n</w:t>
      </w:r>
      <w:r w:rsidRPr="004C6585">
        <w:t xml:space="preserve"> este momento, la disponibilidad de datos agregados es mucho mejor que en otras épocas, no solo en lo que se refiere a las cifras que proporciona el Ministerio de Sanidad, sino tambien, las de empresas especializadas como HMR y Quintiles-IMS</w:t>
      </w:r>
      <w:r w:rsidR="00427DA0">
        <w:t>,</w:t>
      </w:r>
      <w:r w:rsidRPr="004C6585">
        <w:t xml:space="preserve"> que no tienen inconveniente en hacer públicos determinados datos</w:t>
      </w:r>
      <w:r w:rsidR="00843B27">
        <w:t>,</w:t>
      </w:r>
      <w:r w:rsidRPr="004C6585">
        <w:t xml:space="preserve"> que hasta hace poco estaban sometidos a contratos de confidencialidad. Por otra parte el Observatorio del Medicamento de FEFE se preocupa de mantener una importante base de datos públicos y privados que viene utilizando en sus informes mensuales y cuya disponibilidad es absoluta. En este Observatorio y con fuentes tan valoradas se aborda una visión de conjunto del mercado farmacéutico en 2016, que alcanzó la cifra total de 18.800 millones de euros a precio de venta de laboratorio (PVL), con la característica de que el mercado hospitalario, con  9.200 millones casi alcanza a PVL el de las oficinas de farmacia que fue de 9.600 millones. Además se dan datos del mercado de cuidado personal y otros productos de venta en farmacia.</w:t>
      </w:r>
    </w:p>
    <w:p w:rsidR="005B2D00" w:rsidRPr="004C6585" w:rsidRDefault="005B2D00" w:rsidP="009E4E04">
      <w:pPr>
        <w:jc w:val="both"/>
      </w:pPr>
    </w:p>
    <w:p w:rsidR="006908B0" w:rsidRPr="00890D02" w:rsidRDefault="006908B0" w:rsidP="009E4E04">
      <w:pPr>
        <w:jc w:val="both"/>
        <w:rPr>
          <w:b/>
        </w:rPr>
      </w:pPr>
      <w:r w:rsidRPr="00890D02">
        <w:t xml:space="preserve">En cuanto a los </w:t>
      </w:r>
      <w:r w:rsidRPr="00890D02">
        <w:rPr>
          <w:b/>
        </w:rPr>
        <w:t>datos mensuales del gasto</w:t>
      </w:r>
      <w:r w:rsidRPr="00890D02">
        <w:t xml:space="preserve"> </w:t>
      </w:r>
      <w:r w:rsidRPr="00890D02">
        <w:rPr>
          <w:b/>
        </w:rPr>
        <w:t xml:space="preserve">en </w:t>
      </w:r>
      <w:r w:rsidR="00EB6A22">
        <w:rPr>
          <w:b/>
        </w:rPr>
        <w:t>junio</w:t>
      </w:r>
      <w:r w:rsidRPr="00890D02">
        <w:rPr>
          <w:b/>
        </w:rPr>
        <w:t>,</w:t>
      </w:r>
      <w:r w:rsidRPr="00890D02">
        <w:t xml:space="preserve"> el número de recetas alcanza una cifra de </w:t>
      </w:r>
      <w:r w:rsidR="00427DA0">
        <w:t>76,1</w:t>
      </w:r>
      <w:r w:rsidR="003E5CE9" w:rsidRPr="00890D02">
        <w:t xml:space="preserve"> </w:t>
      </w:r>
      <w:r w:rsidRPr="00890D02">
        <w:t xml:space="preserve">millones, lo que </w:t>
      </w:r>
      <w:r w:rsidRPr="00890D02">
        <w:rPr>
          <w:b/>
        </w:rPr>
        <w:t xml:space="preserve">representa un </w:t>
      </w:r>
      <w:r w:rsidR="00427DA0">
        <w:rPr>
          <w:b/>
        </w:rPr>
        <w:t>descenso</w:t>
      </w:r>
      <w:r w:rsidR="003E5CE9" w:rsidRPr="00890D02">
        <w:rPr>
          <w:b/>
        </w:rPr>
        <w:t xml:space="preserve"> </w:t>
      </w:r>
      <w:r w:rsidRPr="00890D02">
        <w:rPr>
          <w:b/>
        </w:rPr>
        <w:t xml:space="preserve">del </w:t>
      </w:r>
      <w:r w:rsidR="00427DA0">
        <w:rPr>
          <w:b/>
        </w:rPr>
        <w:t>(-0,44</w:t>
      </w:r>
      <w:r w:rsidR="00D544C2" w:rsidRPr="00890D02">
        <w:rPr>
          <w:b/>
        </w:rPr>
        <w:t>%</w:t>
      </w:r>
      <w:r w:rsidR="00427DA0">
        <w:rPr>
          <w:b/>
        </w:rPr>
        <w:t>)</w:t>
      </w:r>
      <w:r w:rsidRPr="00890D02">
        <w:t xml:space="preserve"> con respecto al mismo mes del año anterior, que fue de </w:t>
      </w:r>
      <w:r w:rsidR="00491D38" w:rsidRPr="00890D02">
        <w:t>7</w:t>
      </w:r>
      <w:r w:rsidR="00427DA0">
        <w:t>6</w:t>
      </w:r>
      <w:r w:rsidR="009E56EA" w:rsidRPr="00890D02">
        <w:t>,</w:t>
      </w:r>
      <w:r w:rsidR="00427DA0">
        <w:t>5</w:t>
      </w:r>
      <w:r w:rsidRPr="00890D02">
        <w:t xml:space="preserve"> millones</w:t>
      </w:r>
      <w:r w:rsidR="00977F7D" w:rsidRPr="00890D02">
        <w:t>.</w:t>
      </w:r>
      <w:r w:rsidRPr="00890D02">
        <w:t xml:space="preserve"> </w:t>
      </w:r>
      <w:r w:rsidR="00977F7D" w:rsidRPr="00890D02">
        <w:t>El</w:t>
      </w:r>
      <w:r w:rsidRPr="00890D02">
        <w:t xml:space="preserve"> </w:t>
      </w:r>
      <w:r w:rsidRPr="00890D02">
        <w:rPr>
          <w:b/>
        </w:rPr>
        <w:t xml:space="preserve">gasto </w:t>
      </w:r>
      <w:r w:rsidR="00D544C2" w:rsidRPr="00890D02">
        <w:rPr>
          <w:b/>
        </w:rPr>
        <w:t xml:space="preserve">aumenta un </w:t>
      </w:r>
      <w:r w:rsidR="00427DA0">
        <w:rPr>
          <w:b/>
        </w:rPr>
        <w:t>1,87</w:t>
      </w:r>
      <w:r w:rsidR="00D544C2" w:rsidRPr="00890D02">
        <w:rPr>
          <w:b/>
        </w:rPr>
        <w:t>%</w:t>
      </w:r>
      <w:r w:rsidR="000A6368" w:rsidRPr="00890D02">
        <w:rPr>
          <w:b/>
        </w:rPr>
        <w:t xml:space="preserve"> </w:t>
      </w:r>
      <w:r w:rsidR="000A6368" w:rsidRPr="00890D02">
        <w:t>y</w:t>
      </w:r>
      <w:r w:rsidR="003E5CE9" w:rsidRPr="00890D02">
        <w:t xml:space="preserve">, </w:t>
      </w:r>
      <w:r w:rsidRPr="00890D02">
        <w:t xml:space="preserve">el </w:t>
      </w:r>
      <w:r w:rsidRPr="00890D02">
        <w:rPr>
          <w:b/>
        </w:rPr>
        <w:t xml:space="preserve">gasto medio por receta </w:t>
      </w:r>
      <w:r w:rsidR="000A6368" w:rsidRPr="00890D02">
        <w:rPr>
          <w:b/>
        </w:rPr>
        <w:t xml:space="preserve">aumenta un </w:t>
      </w:r>
      <w:r w:rsidR="00427DA0">
        <w:rPr>
          <w:b/>
        </w:rPr>
        <w:t>2,32</w:t>
      </w:r>
      <w:r w:rsidR="00EC54A2" w:rsidRPr="00890D02">
        <w:rPr>
          <w:b/>
        </w:rPr>
        <w:t>%</w:t>
      </w:r>
      <w:r w:rsidR="003E5CE9" w:rsidRPr="00890D02">
        <w:rPr>
          <w:b/>
        </w:rPr>
        <w:t xml:space="preserve">, lo que demuestra la escasa influencia que </w:t>
      </w:r>
      <w:r w:rsidR="00427DA0">
        <w:rPr>
          <w:b/>
        </w:rPr>
        <w:t>tuvo</w:t>
      </w:r>
      <w:r w:rsidR="003E5CE9" w:rsidRPr="00890D02">
        <w:rPr>
          <w:b/>
        </w:rPr>
        <w:t xml:space="preserve"> la última Orden de Precios de Referencia</w:t>
      </w:r>
      <w:r w:rsidR="00843B27">
        <w:rPr>
          <w:b/>
        </w:rPr>
        <w:t>,</w:t>
      </w:r>
      <w:r w:rsidR="003E5CE9" w:rsidRPr="00890D02">
        <w:rPr>
          <w:b/>
        </w:rPr>
        <w:t xml:space="preserve"> </w:t>
      </w:r>
      <w:r w:rsidR="00EC54A2" w:rsidRPr="00890D02">
        <w:rPr>
          <w:b/>
        </w:rPr>
        <w:t>y una situación expansiva del mercado</w:t>
      </w:r>
      <w:r w:rsidR="00C43A3A" w:rsidRPr="00890D02">
        <w:rPr>
          <w:b/>
        </w:rPr>
        <w:t>, aunque con retrocesos en algunos meses por las fechas de facturación y los festivos variables</w:t>
      </w:r>
      <w:r w:rsidR="003E5CE9" w:rsidRPr="00890D02">
        <w:rPr>
          <w:b/>
        </w:rPr>
        <w:t>.</w:t>
      </w:r>
    </w:p>
    <w:p w:rsidR="00D544C2" w:rsidRPr="00890D02" w:rsidRDefault="00D544C2" w:rsidP="009E4E04">
      <w:pPr>
        <w:jc w:val="both"/>
        <w:rPr>
          <w:b/>
        </w:rPr>
      </w:pPr>
    </w:p>
    <w:p w:rsidR="00D544C2" w:rsidRPr="00890D02" w:rsidRDefault="00D544C2" w:rsidP="009E4E04">
      <w:pPr>
        <w:jc w:val="both"/>
        <w:rPr>
          <w:b/>
        </w:rPr>
      </w:pPr>
      <w:r w:rsidRPr="00890D02">
        <w:rPr>
          <w:b/>
        </w:rPr>
        <w:t xml:space="preserve">En </w:t>
      </w:r>
      <w:r w:rsidR="00263142" w:rsidRPr="00890D02">
        <w:rPr>
          <w:b/>
        </w:rPr>
        <w:t>lo que se refiere</w:t>
      </w:r>
      <w:r w:rsidRPr="00890D02">
        <w:rPr>
          <w:b/>
        </w:rPr>
        <w:t xml:space="preserve"> a las cifras acumuladas de recetas, gasto y gasto medio por receta en </w:t>
      </w:r>
      <w:r w:rsidR="004F7158" w:rsidRPr="00890D02">
        <w:rPr>
          <w:b/>
        </w:rPr>
        <w:t>2017</w:t>
      </w:r>
      <w:r w:rsidRPr="00890D02">
        <w:rPr>
          <w:b/>
        </w:rPr>
        <w:t>, se expresan en el cuadro siguiente.</w:t>
      </w:r>
    </w:p>
    <w:p w:rsidR="008E2B08" w:rsidRDefault="008E2B08" w:rsidP="009D6000"/>
    <w:p w:rsidR="008E2B08" w:rsidRDefault="008E2B08" w:rsidP="009D6000"/>
    <w:p w:rsidR="00427DA0" w:rsidRDefault="00427DA0" w:rsidP="009D6000"/>
    <w:p w:rsidR="00427DA0" w:rsidRDefault="00427DA0" w:rsidP="009D6000"/>
    <w:p w:rsidR="009D6000" w:rsidRPr="002A0FA3" w:rsidRDefault="009D6000" w:rsidP="009D6000">
      <w:pPr>
        <w:rPr>
          <w:b/>
        </w:rPr>
      </w:pPr>
      <w:r w:rsidRPr="002A0FA3">
        <w:rPr>
          <w:b/>
        </w:rPr>
        <w:lastRenderedPageBreak/>
        <w:t>ACUMULADO ENERO-</w:t>
      </w:r>
      <w:r w:rsidR="00EB6A22" w:rsidRPr="002A0FA3">
        <w:rPr>
          <w:b/>
        </w:rPr>
        <w:t>JUNIO</w:t>
      </w:r>
    </w:p>
    <w:p w:rsidR="009D6000" w:rsidRDefault="009D6000" w:rsidP="009E4E04">
      <w:pPr>
        <w:jc w:val="both"/>
        <w:rPr>
          <w:b/>
        </w:rPr>
      </w:pPr>
    </w:p>
    <w:p w:rsidR="009D6000" w:rsidRDefault="009D6000" w:rsidP="009E4E04">
      <w:pPr>
        <w:jc w:val="both"/>
        <w:rPr>
          <w:b/>
        </w:rPr>
      </w:pPr>
    </w:p>
    <w:tbl>
      <w:tblPr>
        <w:tblW w:w="8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140"/>
        <w:gridCol w:w="1985"/>
        <w:gridCol w:w="1984"/>
        <w:gridCol w:w="1721"/>
      </w:tblGrid>
      <w:tr w:rsidR="009A22C4" w:rsidTr="000E63F2">
        <w:trPr>
          <w:trHeight w:val="287"/>
        </w:trPr>
        <w:tc>
          <w:tcPr>
            <w:tcW w:w="8830" w:type="dxa"/>
            <w:gridSpan w:val="4"/>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9A22C4" w:rsidRDefault="009A22C4" w:rsidP="000E63F2">
            <w:pPr>
              <w:pStyle w:val="Cuerpo"/>
              <w:jc w:val="center"/>
            </w:pPr>
            <w:r>
              <w:rPr>
                <w:rStyle w:val="Ninguno"/>
                <w:b/>
                <w:bCs/>
                <w:color w:val="FFFFFF"/>
                <w:u w:color="FFFFFF"/>
              </w:rPr>
              <w:t>Comparación de los seis primeros meses de los años 2016</w:t>
            </w:r>
            <w:r w:rsidRPr="00681DD9">
              <w:rPr>
                <w:rStyle w:val="Ninguno"/>
                <w:b/>
                <w:bCs/>
                <w:color w:val="FFFFFF"/>
                <w:u w:color="FFFFFF"/>
              </w:rPr>
              <w:t xml:space="preserve"> y 201</w:t>
            </w:r>
            <w:r>
              <w:rPr>
                <w:rStyle w:val="Ninguno"/>
                <w:b/>
                <w:bCs/>
                <w:color w:val="FFFFFF"/>
                <w:u w:color="FFFFFF"/>
              </w:rPr>
              <w:t>7</w:t>
            </w:r>
          </w:p>
        </w:tc>
      </w:tr>
      <w:tr w:rsidR="009A22C4" w:rsidTr="000E63F2">
        <w:trPr>
          <w:trHeight w:val="567"/>
        </w:trPr>
        <w:tc>
          <w:tcPr>
            <w:tcW w:w="3140"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9A22C4" w:rsidRDefault="009A22C4" w:rsidP="000E63F2">
            <w:pPr>
              <w:pStyle w:val="Cuerpo"/>
            </w:pPr>
            <w:r w:rsidRPr="00681DD9">
              <w:rPr>
                <w:rStyle w:val="Ninguno"/>
                <w:b/>
                <w:bCs/>
                <w:color w:val="FFFFFF"/>
                <w:u w:color="FFFFFF"/>
              </w:rPr>
              <w:t>Indicador</w:t>
            </w:r>
          </w:p>
        </w:tc>
        <w:tc>
          <w:tcPr>
            <w:tcW w:w="1985"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9A22C4" w:rsidRDefault="009A22C4" w:rsidP="000E63F2">
            <w:pPr>
              <w:pStyle w:val="Cuerpo"/>
              <w:jc w:val="center"/>
            </w:pPr>
            <w:r w:rsidRPr="00681DD9">
              <w:rPr>
                <w:rStyle w:val="Ninguno"/>
                <w:b/>
                <w:bCs/>
                <w:color w:val="FFFFFF"/>
                <w:u w:color="FFFFFF"/>
              </w:rPr>
              <w:t>2016</w:t>
            </w:r>
          </w:p>
        </w:tc>
        <w:tc>
          <w:tcPr>
            <w:tcW w:w="1984"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9A22C4" w:rsidRDefault="009A22C4" w:rsidP="000E63F2">
            <w:pPr>
              <w:pStyle w:val="Cuerpo"/>
              <w:jc w:val="center"/>
            </w:pPr>
            <w:r w:rsidRPr="00681DD9">
              <w:rPr>
                <w:rStyle w:val="Ninguno"/>
                <w:b/>
                <w:bCs/>
                <w:color w:val="FFFFFF"/>
                <w:u w:color="FFFFFF"/>
              </w:rPr>
              <w:t>2017</w:t>
            </w:r>
          </w:p>
        </w:tc>
        <w:tc>
          <w:tcPr>
            <w:tcW w:w="1721"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9A22C4" w:rsidRDefault="009A22C4" w:rsidP="000E63F2">
            <w:pPr>
              <w:pStyle w:val="Cuerpo"/>
              <w:jc w:val="center"/>
            </w:pPr>
            <w:r w:rsidRPr="00681DD9">
              <w:rPr>
                <w:rStyle w:val="Ninguno"/>
                <w:b/>
                <w:bCs/>
                <w:color w:val="FFFFFF"/>
                <w:u w:color="FFFFFF"/>
              </w:rPr>
              <w:t>% incremento</w:t>
            </w:r>
          </w:p>
        </w:tc>
      </w:tr>
      <w:tr w:rsidR="009A22C4" w:rsidTr="000E63F2">
        <w:trPr>
          <w:trHeight w:val="353"/>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9A22C4" w:rsidRDefault="009A22C4" w:rsidP="000E63F2">
            <w:pPr>
              <w:pStyle w:val="Cuerpo"/>
              <w:jc w:val="both"/>
            </w:pPr>
            <w:r w:rsidRPr="00681DD9">
              <w:rPr>
                <w:rStyle w:val="Ninguno"/>
                <w:b/>
                <w:bCs/>
                <w:color w:val="FFFFFF"/>
                <w:u w:color="FFFFFF"/>
              </w:rPr>
              <w:t>Número de recetas</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9A22C4" w:rsidRPr="00667B82" w:rsidRDefault="009A22C4" w:rsidP="000E63F2">
            <w:pPr>
              <w:pStyle w:val="Cuerpo"/>
              <w:jc w:val="center"/>
            </w:pPr>
            <w:r>
              <w:rPr>
                <w:rFonts w:ascii="Open Sans" w:hAnsi="Open Sans"/>
                <w:sz w:val="23"/>
                <w:szCs w:val="23"/>
              </w:rPr>
              <w:t>457.078.704</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9A22C4" w:rsidRPr="00667B82" w:rsidRDefault="009A22C4" w:rsidP="000E63F2">
            <w:pPr>
              <w:pStyle w:val="Cuerpo"/>
              <w:jc w:val="center"/>
            </w:pPr>
            <w:r>
              <w:rPr>
                <w:sz w:val="23"/>
                <w:szCs w:val="23"/>
              </w:rPr>
              <w:t>460.118.848</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vAlign w:val="center"/>
          </w:tcPr>
          <w:p w:rsidR="009A22C4" w:rsidRDefault="009A22C4" w:rsidP="000E63F2">
            <w:pPr>
              <w:pStyle w:val="Cuerpo"/>
              <w:jc w:val="center"/>
            </w:pPr>
            <w:r>
              <w:rPr>
                <w:rStyle w:val="Ninguno"/>
                <w:b/>
                <w:bCs/>
              </w:rPr>
              <w:t>0,67</w:t>
            </w:r>
          </w:p>
        </w:tc>
      </w:tr>
      <w:tr w:rsidR="009A22C4" w:rsidTr="000E63F2">
        <w:trPr>
          <w:trHeight w:val="287"/>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9A22C4" w:rsidRDefault="009A22C4" w:rsidP="000E63F2">
            <w:pPr>
              <w:pStyle w:val="Cuerpo"/>
              <w:jc w:val="both"/>
            </w:pPr>
            <w:r w:rsidRPr="00681DD9">
              <w:rPr>
                <w:rStyle w:val="Ninguno"/>
                <w:b/>
                <w:bCs/>
                <w:color w:val="FFFFFF"/>
                <w:u w:color="FFFFFF"/>
              </w:rPr>
              <w:t xml:space="preserve">Gasto </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9A22C4" w:rsidRPr="00667B82" w:rsidRDefault="009A22C4" w:rsidP="000E63F2">
            <w:pPr>
              <w:pStyle w:val="Cuerpo"/>
              <w:jc w:val="center"/>
            </w:pPr>
            <w:r>
              <w:rPr>
                <w:rFonts w:ascii="Open Sans" w:hAnsi="Open Sans"/>
                <w:sz w:val="23"/>
                <w:szCs w:val="23"/>
              </w:rPr>
              <w:t>4.975.286.380</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9A22C4" w:rsidRPr="00667B82" w:rsidRDefault="009A22C4" w:rsidP="000E63F2">
            <w:pPr>
              <w:pStyle w:val="Cuerpo"/>
              <w:jc w:val="center"/>
            </w:pPr>
            <w:r>
              <w:rPr>
                <w:rFonts w:ascii="Open Sans" w:hAnsi="Open Sans"/>
                <w:sz w:val="23"/>
                <w:szCs w:val="23"/>
              </w:rPr>
              <w:t>5.100.100.075</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vAlign w:val="center"/>
          </w:tcPr>
          <w:p w:rsidR="009A22C4" w:rsidRDefault="009A22C4" w:rsidP="000E63F2">
            <w:pPr>
              <w:pStyle w:val="Cuerpo"/>
              <w:jc w:val="center"/>
            </w:pPr>
            <w:r>
              <w:rPr>
                <w:rStyle w:val="Ninguno"/>
                <w:b/>
                <w:bCs/>
              </w:rPr>
              <w:t>2,51</w:t>
            </w:r>
          </w:p>
        </w:tc>
      </w:tr>
      <w:tr w:rsidR="009A22C4" w:rsidTr="000E63F2">
        <w:trPr>
          <w:trHeight w:val="287"/>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9A22C4" w:rsidRDefault="009A22C4" w:rsidP="000E63F2">
            <w:pPr>
              <w:pStyle w:val="Cuerpo"/>
              <w:jc w:val="both"/>
            </w:pPr>
            <w:r w:rsidRPr="00681DD9">
              <w:rPr>
                <w:rStyle w:val="Ninguno"/>
                <w:b/>
                <w:bCs/>
                <w:color w:val="FFFFFF"/>
                <w:u w:color="FFFFFF"/>
              </w:rPr>
              <w:t>Gasto medio por receta</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tcPr>
          <w:p w:rsidR="009A22C4" w:rsidRDefault="009A22C4" w:rsidP="000E63F2">
            <w:pPr>
              <w:pStyle w:val="Cuerpo"/>
              <w:jc w:val="center"/>
            </w:pPr>
            <w:r>
              <w:rPr>
                <w:rStyle w:val="Ninguno"/>
              </w:rPr>
              <w:t>10,88</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tcPr>
          <w:p w:rsidR="009A22C4" w:rsidRDefault="009A22C4" w:rsidP="000E63F2">
            <w:pPr>
              <w:pStyle w:val="Cuerpo"/>
              <w:jc w:val="center"/>
            </w:pPr>
            <w:r>
              <w:rPr>
                <w:rStyle w:val="Ninguno"/>
              </w:rPr>
              <w:t>11,08</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tcPr>
          <w:p w:rsidR="009A22C4" w:rsidRDefault="009A22C4" w:rsidP="000E63F2">
            <w:pPr>
              <w:pStyle w:val="Cuerpo"/>
              <w:jc w:val="center"/>
            </w:pPr>
            <w:r w:rsidRPr="00681DD9">
              <w:rPr>
                <w:rStyle w:val="Ninguno"/>
                <w:b/>
                <w:bCs/>
              </w:rPr>
              <w:t>1,</w:t>
            </w:r>
            <w:r>
              <w:rPr>
                <w:rStyle w:val="Ninguno"/>
                <w:b/>
                <w:bCs/>
              </w:rPr>
              <w:t>83</w:t>
            </w:r>
          </w:p>
        </w:tc>
      </w:tr>
    </w:tbl>
    <w:p w:rsidR="009D6000" w:rsidRPr="006E3792" w:rsidRDefault="009D6000" w:rsidP="009E4E04">
      <w:pPr>
        <w:jc w:val="both"/>
        <w:rPr>
          <w:b/>
        </w:rPr>
      </w:pPr>
    </w:p>
    <w:p w:rsidR="00CC686D" w:rsidRPr="00C566AB" w:rsidRDefault="00CC686D" w:rsidP="009E4E04">
      <w:pPr>
        <w:jc w:val="both"/>
        <w:rPr>
          <w:sz w:val="22"/>
        </w:rPr>
      </w:pPr>
    </w:p>
    <w:p w:rsidR="00E6020C" w:rsidRDefault="00E6020C" w:rsidP="009E4E04">
      <w:pPr>
        <w:jc w:val="both"/>
        <w:rPr>
          <w:b/>
        </w:rPr>
      </w:pPr>
    </w:p>
    <w:p w:rsidR="00880758" w:rsidRDefault="00880758" w:rsidP="00880758">
      <w:pPr>
        <w:jc w:val="both"/>
        <w:rPr>
          <w:rFonts w:ascii="Arial Black" w:hAnsi="Arial Black"/>
          <w:color w:val="4BACC6"/>
        </w:rPr>
      </w:pPr>
      <w:r w:rsidRPr="005D1F2E">
        <w:rPr>
          <w:rFonts w:ascii="Arial Black" w:hAnsi="Arial Black"/>
          <w:color w:val="4BACC6"/>
        </w:rPr>
        <w:t>Evolución de la Facturación de recetas en los últimos doce meses</w:t>
      </w:r>
    </w:p>
    <w:p w:rsidR="000145C0" w:rsidRDefault="000145C0" w:rsidP="00880758">
      <w:pPr>
        <w:jc w:val="both"/>
        <w:rPr>
          <w:rFonts w:ascii="Arial Black" w:hAnsi="Arial Black"/>
          <w:color w:val="4BACC6"/>
        </w:rPr>
      </w:pPr>
    </w:p>
    <w:p w:rsidR="002447FF" w:rsidRDefault="009A22C4" w:rsidP="00880758">
      <w:pPr>
        <w:jc w:val="both"/>
        <w:rPr>
          <w:noProof/>
        </w:rPr>
      </w:pPr>
      <w:r>
        <w:rPr>
          <w:noProof/>
        </w:rPr>
        <w:drawing>
          <wp:inline distT="0" distB="0" distL="0" distR="0" wp14:anchorId="6DCC387C">
            <wp:extent cx="5638165" cy="45618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165" cy="4561840"/>
                    </a:xfrm>
                    <a:prstGeom prst="rect">
                      <a:avLst/>
                    </a:prstGeom>
                    <a:noFill/>
                  </pic:spPr>
                </pic:pic>
              </a:graphicData>
            </a:graphic>
          </wp:inline>
        </w:drawing>
      </w:r>
    </w:p>
    <w:p w:rsidR="009D6000" w:rsidRDefault="009D6000" w:rsidP="00880758">
      <w:pPr>
        <w:jc w:val="both"/>
        <w:rPr>
          <w:noProof/>
        </w:rPr>
      </w:pPr>
    </w:p>
    <w:p w:rsidR="00916469" w:rsidRDefault="00916469" w:rsidP="009E4E04">
      <w:pPr>
        <w:rPr>
          <w:rFonts w:ascii="Arial Black" w:hAnsi="Arial Black"/>
          <w:color w:val="008080"/>
        </w:rPr>
      </w:pPr>
    </w:p>
    <w:p w:rsidR="002A0FA3" w:rsidRDefault="002A0FA3" w:rsidP="009E4E04">
      <w:pPr>
        <w:rPr>
          <w:rFonts w:ascii="Arial Black" w:hAnsi="Arial Black"/>
          <w:color w:val="008080"/>
        </w:rPr>
      </w:pPr>
    </w:p>
    <w:p w:rsidR="006908B0" w:rsidRDefault="00AC4226" w:rsidP="009E4E04">
      <w:pPr>
        <w:rPr>
          <w:rFonts w:ascii="Arial Black" w:hAnsi="Arial Black"/>
          <w:color w:val="008080"/>
        </w:rPr>
      </w:pPr>
      <w:r>
        <w:rPr>
          <w:rFonts w:ascii="Arial Black" w:hAnsi="Arial Black"/>
          <w:color w:val="008080"/>
        </w:rPr>
        <w:lastRenderedPageBreak/>
        <w:t>T</w:t>
      </w:r>
      <w:r w:rsidR="006908B0">
        <w:rPr>
          <w:rFonts w:ascii="Arial Black" w:hAnsi="Arial Black"/>
          <w:color w:val="008080"/>
        </w:rPr>
        <w:t>endencia logarítmica</w:t>
      </w:r>
    </w:p>
    <w:p w:rsidR="006908B0" w:rsidRDefault="006908B0" w:rsidP="009E4E04">
      <w:pPr>
        <w:jc w:val="both"/>
      </w:pPr>
    </w:p>
    <w:p w:rsidR="00532814" w:rsidRDefault="00526F18" w:rsidP="0007750F">
      <w:pPr>
        <w:jc w:val="both"/>
      </w:pPr>
      <w:r w:rsidRPr="003E02BA">
        <w:rPr>
          <w:b/>
        </w:rPr>
        <w:t>En l</w:t>
      </w:r>
      <w:r w:rsidR="00590CE2" w:rsidRPr="003E02BA">
        <w:rPr>
          <w:b/>
        </w:rPr>
        <w:t>a</w:t>
      </w:r>
      <w:r w:rsidR="00590CE2">
        <w:t xml:space="preserve"> </w:t>
      </w:r>
      <w:r w:rsidR="006908B0" w:rsidRPr="006C0369">
        <w:rPr>
          <w:b/>
        </w:rPr>
        <w:t>tendencia de gasto</w:t>
      </w:r>
      <w:r>
        <w:rPr>
          <w:b/>
        </w:rPr>
        <w:t xml:space="preserve"> se aprecia</w:t>
      </w:r>
      <w:r w:rsidR="00DA1302">
        <w:rPr>
          <w:b/>
        </w:rPr>
        <w:t xml:space="preserve"> que</w:t>
      </w:r>
      <w:r w:rsidR="001619D5">
        <w:rPr>
          <w:b/>
        </w:rPr>
        <w:t xml:space="preserve"> se abandona la trayectoria de estabilidad</w:t>
      </w:r>
      <w:r w:rsidR="00E074BE">
        <w:rPr>
          <w:b/>
        </w:rPr>
        <w:t>, influid</w:t>
      </w:r>
      <w:r w:rsidR="00532814">
        <w:rPr>
          <w:b/>
        </w:rPr>
        <w:t>a</w:t>
      </w:r>
      <w:r w:rsidR="00E074BE">
        <w:rPr>
          <w:b/>
        </w:rPr>
        <w:t xml:space="preserve"> por</w:t>
      </w:r>
      <w:r w:rsidR="001619D5">
        <w:rPr>
          <w:b/>
        </w:rPr>
        <w:t xml:space="preserve"> los datos del </w:t>
      </w:r>
      <w:r w:rsidR="001E2BAA">
        <w:rPr>
          <w:b/>
        </w:rPr>
        <w:t xml:space="preserve">mes de </w:t>
      </w:r>
      <w:r w:rsidR="00EB6A22">
        <w:rPr>
          <w:b/>
        </w:rPr>
        <w:t>Junio</w:t>
      </w:r>
      <w:r w:rsidR="00FB2331">
        <w:rPr>
          <w:b/>
        </w:rPr>
        <w:t>,</w:t>
      </w:r>
      <w:r w:rsidR="003E02BA">
        <w:rPr>
          <w:b/>
        </w:rPr>
        <w:t xml:space="preserve"> aunque todavía desciende la tendencia de dos indicadores – número de recetas y gasto– mientras el gasto</w:t>
      </w:r>
      <w:r w:rsidR="00843B27">
        <w:rPr>
          <w:b/>
        </w:rPr>
        <w:t xml:space="preserve"> medio por receta</w:t>
      </w:r>
      <w:r w:rsidR="003E02BA">
        <w:rPr>
          <w:b/>
        </w:rPr>
        <w:t xml:space="preserve"> se mantiene es</w:t>
      </w:r>
      <w:r w:rsidR="001F346D">
        <w:rPr>
          <w:b/>
        </w:rPr>
        <w:t>table</w:t>
      </w:r>
      <w:r w:rsidR="001619D5">
        <w:rPr>
          <w:b/>
        </w:rPr>
        <w:t>.</w:t>
      </w:r>
      <w:r w:rsidR="00DA7900">
        <w:t xml:space="preserve"> </w:t>
      </w:r>
    </w:p>
    <w:p w:rsidR="0081065C" w:rsidRDefault="0081065C" w:rsidP="0007750F">
      <w:pPr>
        <w:jc w:val="both"/>
        <w:rPr>
          <w:b/>
        </w:rPr>
      </w:pPr>
    </w:p>
    <w:p w:rsidR="00DA7900" w:rsidRDefault="006908B0" w:rsidP="0007750F">
      <w:pPr>
        <w:jc w:val="both"/>
      </w:pPr>
      <w:r>
        <w:t xml:space="preserve">Las previsiones a corto plazo muestran </w:t>
      </w:r>
      <w:r w:rsidR="00D33AB6">
        <w:t>que</w:t>
      </w:r>
      <w:r w:rsidR="00DF72DA">
        <w:t>,</w:t>
      </w:r>
      <w:r w:rsidR="00D33AB6">
        <w:t xml:space="preserve"> </w:t>
      </w:r>
      <w:r w:rsidR="00E124C0">
        <w:t xml:space="preserve">aunque se </w:t>
      </w:r>
      <w:r w:rsidR="00737BA3">
        <w:t>mantiene el gasto en el momento actual</w:t>
      </w:r>
      <w:r w:rsidR="001E2BAA">
        <w:t xml:space="preserve">, </w:t>
      </w:r>
      <w:r w:rsidR="008E1A7A">
        <w:t xml:space="preserve">tanto </w:t>
      </w:r>
      <w:r w:rsidR="001E2BAA">
        <w:t>en el acumulado como en el interanual</w:t>
      </w:r>
      <w:r w:rsidR="00DF72DA">
        <w:t>,</w:t>
      </w:r>
      <w:r w:rsidR="00E124C0">
        <w:t xml:space="preserve"> </w:t>
      </w:r>
      <w:r w:rsidR="001E2BAA">
        <w:t>é</w:t>
      </w:r>
      <w:r w:rsidR="00E124C0">
        <w:t>ste puede</w:t>
      </w:r>
      <w:r w:rsidR="00590CE2">
        <w:t xml:space="preserve"> experimentar descensos algunos meses</w:t>
      </w:r>
      <w:r w:rsidR="007A79D6">
        <w:t>.</w:t>
      </w:r>
    </w:p>
    <w:p w:rsidR="00302989" w:rsidRDefault="00302989" w:rsidP="0007750F">
      <w:pPr>
        <w:jc w:val="both"/>
        <w:rPr>
          <w:b/>
        </w:rPr>
      </w:pPr>
    </w:p>
    <w:p w:rsidR="00DA7900" w:rsidRPr="00A9059C" w:rsidRDefault="0081065C" w:rsidP="0007750F">
      <w:pPr>
        <w:jc w:val="both"/>
        <w:rPr>
          <w:b/>
        </w:rPr>
      </w:pPr>
      <w:r>
        <w:rPr>
          <w:b/>
        </w:rPr>
        <w:t xml:space="preserve">En este ejercicio están influyendo </w:t>
      </w:r>
      <w:r w:rsidR="001619D5">
        <w:rPr>
          <w:b/>
        </w:rPr>
        <w:t>otros f</w:t>
      </w:r>
      <w:r>
        <w:rPr>
          <w:b/>
        </w:rPr>
        <w:t xml:space="preserve">actores de carácter estacional particularmente la distribución de días festivos y las fechas de facturación lo que hace mucho más irregular la tendencia y, también, medidas </w:t>
      </w:r>
      <w:r w:rsidR="00263142">
        <w:rPr>
          <w:b/>
        </w:rPr>
        <w:t>de carácter local</w:t>
      </w:r>
      <w:r w:rsidR="00D544C2">
        <w:rPr>
          <w:b/>
        </w:rPr>
        <w:t xml:space="preserve"> relacionadas con la aportación de los beneficiarios</w:t>
      </w:r>
      <w:r w:rsidR="003E02BA">
        <w:rPr>
          <w:b/>
        </w:rPr>
        <w:t>.</w:t>
      </w:r>
    </w:p>
    <w:p w:rsidR="00E70871" w:rsidRDefault="00E70871" w:rsidP="00E70871">
      <w:pPr>
        <w:jc w:val="both"/>
      </w:pPr>
    </w:p>
    <w:p w:rsidR="003E02BA" w:rsidRDefault="003E02BA" w:rsidP="009D6000">
      <w:pPr>
        <w:jc w:val="both"/>
        <w:rPr>
          <w:b/>
        </w:rPr>
      </w:pPr>
    </w:p>
    <w:p w:rsidR="009D6000" w:rsidRPr="003E02BA" w:rsidRDefault="009D6000" w:rsidP="009D6000">
      <w:pPr>
        <w:jc w:val="both"/>
        <w:rPr>
          <w:b/>
          <w:color w:val="4BACC6" w:themeColor="accent5"/>
        </w:rPr>
      </w:pPr>
      <w:r w:rsidRPr="003E02BA">
        <w:rPr>
          <w:b/>
          <w:color w:val="4BACC6" w:themeColor="accent5"/>
        </w:rPr>
        <w:t xml:space="preserve">TENDENCIA LOGARÍTMICA (Proyección de 2 periodos hasta </w:t>
      </w:r>
      <w:r w:rsidR="00843B27">
        <w:rPr>
          <w:b/>
          <w:color w:val="4BACC6" w:themeColor="accent5"/>
        </w:rPr>
        <w:t>agosto</w:t>
      </w:r>
      <w:r w:rsidRPr="003E02BA">
        <w:rPr>
          <w:b/>
          <w:color w:val="4BACC6" w:themeColor="accent5"/>
        </w:rPr>
        <w:t xml:space="preserve"> de </w:t>
      </w:r>
      <w:r w:rsidR="004F7158" w:rsidRPr="003E02BA">
        <w:rPr>
          <w:b/>
          <w:color w:val="4BACC6" w:themeColor="accent5"/>
        </w:rPr>
        <w:t>2017</w:t>
      </w:r>
      <w:r w:rsidRPr="003E02BA">
        <w:rPr>
          <w:b/>
          <w:color w:val="4BACC6" w:themeColor="accent5"/>
        </w:rPr>
        <w:t>)</w:t>
      </w:r>
    </w:p>
    <w:p w:rsidR="009D6000" w:rsidRDefault="009D6000" w:rsidP="009D6000">
      <w:pPr>
        <w:jc w:val="both"/>
        <w:rPr>
          <w:b/>
        </w:rPr>
      </w:pPr>
    </w:p>
    <w:p w:rsidR="009D6000" w:rsidRDefault="009D6000" w:rsidP="009D6000">
      <w:pPr>
        <w:jc w:val="both"/>
        <w:rPr>
          <w:b/>
        </w:rPr>
      </w:pPr>
    </w:p>
    <w:p w:rsidR="007677AA" w:rsidRDefault="009A22C4" w:rsidP="00E342CB">
      <w:pPr>
        <w:jc w:val="center"/>
        <w:rPr>
          <w:b/>
        </w:rPr>
      </w:pPr>
      <w:r>
        <w:rPr>
          <w:b/>
          <w:noProof/>
        </w:rPr>
        <w:drawing>
          <wp:inline distT="0" distB="0" distL="0" distR="0" wp14:anchorId="61944812">
            <wp:extent cx="5638165" cy="43332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165" cy="4333240"/>
                    </a:xfrm>
                    <a:prstGeom prst="rect">
                      <a:avLst/>
                    </a:prstGeom>
                    <a:noFill/>
                  </pic:spPr>
                </pic:pic>
              </a:graphicData>
            </a:graphic>
          </wp:inline>
        </w:drawing>
      </w:r>
    </w:p>
    <w:p w:rsidR="00916469" w:rsidRDefault="00916469" w:rsidP="009E4E04">
      <w:pPr>
        <w:rPr>
          <w:rFonts w:ascii="Arial Black" w:hAnsi="Arial Black"/>
          <w:color w:val="008080"/>
          <w:sz w:val="28"/>
        </w:rPr>
      </w:pPr>
    </w:p>
    <w:p w:rsidR="009A22C4" w:rsidRDefault="009A22C4" w:rsidP="009E4E04">
      <w:pPr>
        <w:rPr>
          <w:rFonts w:ascii="Arial Black" w:hAnsi="Arial Black"/>
          <w:color w:val="008080"/>
          <w:sz w:val="28"/>
        </w:rPr>
      </w:pPr>
    </w:p>
    <w:p w:rsidR="006908B0" w:rsidRPr="00FF58FE" w:rsidRDefault="006908B0" w:rsidP="009E4E04">
      <w:pPr>
        <w:rPr>
          <w:rFonts w:ascii="Arial Black" w:hAnsi="Arial Black"/>
          <w:color w:val="008080"/>
          <w:sz w:val="28"/>
        </w:rPr>
      </w:pPr>
      <w:r>
        <w:rPr>
          <w:rFonts w:ascii="Arial Black" w:hAnsi="Arial Black"/>
          <w:color w:val="008080"/>
          <w:sz w:val="28"/>
        </w:rPr>
        <w:t>G</w:t>
      </w:r>
      <w:r w:rsidRPr="00FF58FE">
        <w:rPr>
          <w:rFonts w:ascii="Arial Black" w:hAnsi="Arial Black"/>
          <w:color w:val="008080"/>
          <w:sz w:val="28"/>
        </w:rPr>
        <w:t xml:space="preserve">asto por Comunidades </w:t>
      </w:r>
      <w:r w:rsidRPr="00FF58FE">
        <w:rPr>
          <w:rFonts w:ascii="Arial Black" w:hAnsi="Arial Black"/>
          <w:color w:val="31849B"/>
          <w:sz w:val="28"/>
        </w:rPr>
        <w:t>Autónomas</w:t>
      </w:r>
    </w:p>
    <w:p w:rsidR="006908B0" w:rsidRDefault="006908B0" w:rsidP="009E4E04"/>
    <w:p w:rsidR="001F17B2" w:rsidRDefault="006908B0" w:rsidP="009E4E04">
      <w:pPr>
        <w:jc w:val="both"/>
        <w:rPr>
          <w:b/>
        </w:rPr>
      </w:pPr>
      <w:r w:rsidRPr="005D1B90">
        <w:rPr>
          <w:b/>
        </w:rPr>
        <w:t xml:space="preserve">En </w:t>
      </w:r>
      <w:r w:rsidR="00EB6A22">
        <w:rPr>
          <w:b/>
        </w:rPr>
        <w:t>Junio</w:t>
      </w:r>
      <w:r>
        <w:rPr>
          <w:b/>
        </w:rPr>
        <w:t xml:space="preserve"> </w:t>
      </w:r>
      <w:r w:rsidRPr="005D1B90">
        <w:rPr>
          <w:b/>
        </w:rPr>
        <w:t xml:space="preserve">se producen </w:t>
      </w:r>
      <w:r w:rsidR="00200673">
        <w:rPr>
          <w:b/>
        </w:rPr>
        <w:t xml:space="preserve">aumentos </w:t>
      </w:r>
      <w:r w:rsidR="00C378D1">
        <w:rPr>
          <w:b/>
        </w:rPr>
        <w:t xml:space="preserve">en </w:t>
      </w:r>
      <w:r w:rsidR="00DA1302">
        <w:rPr>
          <w:b/>
        </w:rPr>
        <w:t xml:space="preserve">todas las </w:t>
      </w:r>
      <w:r w:rsidR="00E5344E">
        <w:rPr>
          <w:b/>
        </w:rPr>
        <w:t>Comunidades</w:t>
      </w:r>
      <w:r w:rsidR="00DA1302">
        <w:rPr>
          <w:b/>
        </w:rPr>
        <w:t xml:space="preserve"> y Ciudades</w:t>
      </w:r>
      <w:r w:rsidR="00E5344E">
        <w:rPr>
          <w:b/>
        </w:rPr>
        <w:t xml:space="preserve"> Autónomas</w:t>
      </w:r>
      <w:r w:rsidR="001D13AB">
        <w:rPr>
          <w:b/>
        </w:rPr>
        <w:t xml:space="preserve"> </w:t>
      </w:r>
      <w:r w:rsidR="00843B27">
        <w:rPr>
          <w:b/>
        </w:rPr>
        <w:t xml:space="preserve">con la única </w:t>
      </w:r>
      <w:r w:rsidR="001D13AB">
        <w:rPr>
          <w:b/>
        </w:rPr>
        <w:t>excepción</w:t>
      </w:r>
      <w:r w:rsidR="00843B27">
        <w:rPr>
          <w:b/>
        </w:rPr>
        <w:t xml:space="preserve"> de Castilla La Mancha</w:t>
      </w:r>
      <w:r w:rsidR="00200673">
        <w:rPr>
          <w:b/>
        </w:rPr>
        <w:t>.</w:t>
      </w:r>
      <w:r w:rsidR="00335718">
        <w:rPr>
          <w:b/>
        </w:rPr>
        <w:t xml:space="preserve"> </w:t>
      </w:r>
    </w:p>
    <w:p w:rsidR="00B4301E" w:rsidRDefault="00B4301E" w:rsidP="00E67996">
      <w:pPr>
        <w:jc w:val="both"/>
        <w:rPr>
          <w:b/>
        </w:rPr>
      </w:pPr>
    </w:p>
    <w:p w:rsidR="001C58C2" w:rsidRDefault="001C58C2" w:rsidP="00E67996">
      <w:pPr>
        <w:jc w:val="both"/>
      </w:pPr>
      <w:r>
        <w:t xml:space="preserve">Los </w:t>
      </w:r>
      <w:r w:rsidR="00200673">
        <w:t>aumentos</w:t>
      </w:r>
      <w:r w:rsidR="00854A98">
        <w:t xml:space="preserve"> </w:t>
      </w:r>
      <w:r>
        <w:t>más significativos</w:t>
      </w:r>
      <w:r w:rsidR="000007C1">
        <w:t xml:space="preserve"> son los de Baleares +</w:t>
      </w:r>
      <w:r w:rsidR="00843B27">
        <w:t>5,74</w:t>
      </w:r>
      <w:r w:rsidR="000007C1">
        <w:t>%; Canarias +</w:t>
      </w:r>
      <w:r w:rsidR="00843B27">
        <w:t>3,07</w:t>
      </w:r>
      <w:r w:rsidR="000007C1">
        <w:t>%, además de en Melilla +</w:t>
      </w:r>
      <w:r w:rsidR="00843B27">
        <w:t>4,56</w:t>
      </w:r>
      <w:r w:rsidR="001D13AB">
        <w:t>%</w:t>
      </w:r>
      <w:r w:rsidR="000007C1">
        <w:t xml:space="preserve"> y</w:t>
      </w:r>
      <w:r w:rsidR="00843B27">
        <w:t xml:space="preserve"> Murcia +2,94</w:t>
      </w:r>
      <w:r w:rsidR="00335718">
        <w:t>.</w:t>
      </w:r>
      <w:r w:rsidR="00854A98">
        <w:t xml:space="preserve"> </w:t>
      </w:r>
      <w:r w:rsidR="00200673">
        <w:t>Los menores aumento</w:t>
      </w:r>
      <w:r w:rsidR="001B1C89">
        <w:t>s</w:t>
      </w:r>
      <w:r w:rsidR="003B166D">
        <w:t xml:space="preserve"> se producen</w:t>
      </w:r>
      <w:r w:rsidR="000007C1">
        <w:t xml:space="preserve"> en</w:t>
      </w:r>
      <w:r w:rsidR="00843B27">
        <w:t xml:space="preserve"> Madrid +0,52,</w:t>
      </w:r>
      <w:r w:rsidR="000007C1">
        <w:t xml:space="preserve"> </w:t>
      </w:r>
      <w:r w:rsidR="00843B27">
        <w:t>Aragón</w:t>
      </w:r>
      <w:r w:rsidR="000007C1">
        <w:t xml:space="preserve"> +</w:t>
      </w:r>
      <w:r w:rsidR="00843B27">
        <w:t>0,51</w:t>
      </w:r>
      <w:r w:rsidR="000007C1">
        <w:t xml:space="preserve">4% y </w:t>
      </w:r>
      <w:r w:rsidR="00843B27">
        <w:t>La rioja</w:t>
      </w:r>
      <w:r w:rsidR="000007C1">
        <w:t xml:space="preserve"> +</w:t>
      </w:r>
      <w:r w:rsidR="00843B27">
        <w:t>0,25</w:t>
      </w:r>
      <w:r w:rsidR="00891CBE">
        <w:t>%</w:t>
      </w:r>
      <w:r w:rsidR="001B1C89">
        <w:t xml:space="preserve">. El resto de las Comunidades se mueven entre el </w:t>
      </w:r>
      <w:r w:rsidR="00843B27">
        <w:t>1</w:t>
      </w:r>
      <w:r w:rsidR="001B1C89">
        <w:t xml:space="preserve"> y el </w:t>
      </w:r>
      <w:r w:rsidR="00843B27">
        <w:t>3</w:t>
      </w:r>
      <w:r w:rsidR="001B1C89">
        <w:t>%</w:t>
      </w:r>
      <w:r w:rsidR="003B166D">
        <w:t>.</w:t>
      </w:r>
    </w:p>
    <w:p w:rsidR="001C58C2" w:rsidRDefault="001C58C2" w:rsidP="00E67996">
      <w:pPr>
        <w:jc w:val="both"/>
      </w:pPr>
    </w:p>
    <w:p w:rsidR="00E91918" w:rsidRDefault="00CB5EFD" w:rsidP="009E4E04">
      <w:pPr>
        <w:jc w:val="both"/>
      </w:pPr>
      <w:r>
        <w:t xml:space="preserve">En conjunto este mes de </w:t>
      </w:r>
      <w:r w:rsidR="00EB6A22">
        <w:t>Junio</w:t>
      </w:r>
      <w:r>
        <w:t xml:space="preserve"> muestra una imagen </w:t>
      </w:r>
      <w:r w:rsidR="00F67B0D">
        <w:t xml:space="preserve">de </w:t>
      </w:r>
      <w:r w:rsidR="001B1C89">
        <w:t xml:space="preserve">aumento </w:t>
      </w:r>
      <w:r w:rsidR="00843B27">
        <w:t>moderado</w:t>
      </w:r>
      <w:r w:rsidR="00DF0CB5">
        <w:t xml:space="preserve"> </w:t>
      </w:r>
      <w:r>
        <w:t>en las ventas</w:t>
      </w:r>
      <w:r w:rsidR="001B1C89">
        <w:t>,</w:t>
      </w:r>
      <w:r w:rsidR="00E21E02">
        <w:t xml:space="preserve"> </w:t>
      </w:r>
      <w:r>
        <w:t>respecto al mismo mes del año anterior.</w:t>
      </w:r>
    </w:p>
    <w:p w:rsidR="00CB5EFD" w:rsidRDefault="00CB5EFD" w:rsidP="009E4E04">
      <w:pPr>
        <w:jc w:val="both"/>
      </w:pPr>
    </w:p>
    <w:p w:rsidR="00DD178E" w:rsidRPr="00512F5D" w:rsidRDefault="009A22C4" w:rsidP="00512F5D">
      <w:pPr>
        <w:jc w:val="center"/>
      </w:pPr>
      <w:r>
        <w:rPr>
          <w:noProof/>
        </w:rPr>
        <w:drawing>
          <wp:inline distT="0" distB="0" distL="0" distR="0" wp14:anchorId="129618A0">
            <wp:extent cx="5638800" cy="5619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165" cy="5619117"/>
                    </a:xfrm>
                    <a:prstGeom prst="rect">
                      <a:avLst/>
                    </a:prstGeom>
                    <a:noFill/>
                  </pic:spPr>
                </pic:pic>
              </a:graphicData>
            </a:graphic>
          </wp:inline>
        </w:drawing>
      </w:r>
    </w:p>
    <w:p w:rsidR="00253A56" w:rsidRDefault="00253A56" w:rsidP="000537AE">
      <w:pPr>
        <w:jc w:val="both"/>
        <w:rPr>
          <w:rFonts w:ascii="Arial Black" w:hAnsi="Arial Black"/>
          <w:color w:val="31849B"/>
          <w:sz w:val="26"/>
          <w:szCs w:val="26"/>
        </w:rPr>
      </w:pPr>
    </w:p>
    <w:p w:rsidR="001E0D6A" w:rsidRDefault="001E0D6A" w:rsidP="000537AE">
      <w:pPr>
        <w:jc w:val="both"/>
        <w:rPr>
          <w:rFonts w:ascii="Arial Black" w:hAnsi="Arial Black"/>
          <w:color w:val="31849B"/>
          <w:sz w:val="26"/>
          <w:szCs w:val="26"/>
        </w:rPr>
      </w:pPr>
    </w:p>
    <w:p w:rsidR="006908B0" w:rsidRPr="000537AE" w:rsidRDefault="006908B0" w:rsidP="000537AE">
      <w:pPr>
        <w:jc w:val="both"/>
        <w:rPr>
          <w:rFonts w:ascii="Arial Black" w:hAnsi="Arial Black"/>
          <w:color w:val="008080"/>
          <w:sz w:val="26"/>
          <w:szCs w:val="26"/>
        </w:rPr>
      </w:pPr>
      <w:r w:rsidRPr="00577631">
        <w:rPr>
          <w:rFonts w:ascii="Arial Black" w:hAnsi="Arial Black"/>
          <w:color w:val="31849B"/>
          <w:sz w:val="26"/>
          <w:szCs w:val="26"/>
        </w:rPr>
        <w:t xml:space="preserve">Comparación </w:t>
      </w:r>
      <w:r w:rsidRPr="000537AE">
        <w:rPr>
          <w:rFonts w:ascii="Arial Black" w:hAnsi="Arial Black"/>
          <w:color w:val="008080"/>
          <w:sz w:val="26"/>
          <w:szCs w:val="26"/>
        </w:rPr>
        <w:t>del gasto respecto al mes anterior por CC.AA</w:t>
      </w:r>
      <w:r>
        <w:rPr>
          <w:rFonts w:ascii="Arial Black" w:hAnsi="Arial Black"/>
          <w:color w:val="008080"/>
          <w:sz w:val="26"/>
          <w:szCs w:val="26"/>
        </w:rPr>
        <w:t>.</w:t>
      </w:r>
    </w:p>
    <w:p w:rsidR="006908B0" w:rsidRDefault="006908B0" w:rsidP="009E4E04"/>
    <w:p w:rsidR="006908B0" w:rsidRDefault="006908B0" w:rsidP="009E4E04">
      <w:pPr>
        <w:jc w:val="both"/>
        <w:rPr>
          <w:b/>
        </w:rPr>
      </w:pPr>
      <w:r>
        <w:t>Si hacemos la media de los dos últimos meses para evitar el “efecto calendario”, comparando en cada Comunidad Autónoma el incremento del gasto en los meses de</w:t>
      </w:r>
      <w:r w:rsidR="00C3349D">
        <w:t xml:space="preserve"> </w:t>
      </w:r>
      <w:r w:rsidR="00891CBE">
        <w:t>abril</w:t>
      </w:r>
      <w:r w:rsidR="00DF0CB5">
        <w:t xml:space="preserve"> </w:t>
      </w:r>
      <w:r w:rsidR="00ED3BFE">
        <w:t xml:space="preserve">y </w:t>
      </w:r>
      <w:r w:rsidR="00EB6A22">
        <w:t>junio</w:t>
      </w:r>
      <w:r>
        <w:t>, respecto a los mismos meses del año anterior, se observa que</w:t>
      </w:r>
      <w:r w:rsidR="008E5CA1">
        <w:t xml:space="preserve"> </w:t>
      </w:r>
      <w:r w:rsidRPr="00CD4953">
        <w:rPr>
          <w:b/>
        </w:rPr>
        <w:t>s</w:t>
      </w:r>
      <w:r w:rsidRPr="009D2FC8">
        <w:rPr>
          <w:b/>
        </w:rPr>
        <w:t>e produce</w:t>
      </w:r>
      <w:r w:rsidR="0039402F">
        <w:rPr>
          <w:b/>
        </w:rPr>
        <w:t>n</w:t>
      </w:r>
      <w:r w:rsidR="003E02BA">
        <w:rPr>
          <w:b/>
        </w:rPr>
        <w:t xml:space="preserve"> </w:t>
      </w:r>
      <w:r w:rsidR="006E59D8">
        <w:rPr>
          <w:b/>
        </w:rPr>
        <w:t>descensos</w:t>
      </w:r>
      <w:r w:rsidR="003E02BA">
        <w:rPr>
          <w:b/>
        </w:rPr>
        <w:t xml:space="preserve"> en todas las Comunidades y Ciudades Autónomas</w:t>
      </w:r>
      <w:r w:rsidR="005E6FA8">
        <w:rPr>
          <w:b/>
        </w:rPr>
        <w:t xml:space="preserve">. </w:t>
      </w:r>
      <w:r w:rsidR="00A91092">
        <w:rPr>
          <w:b/>
        </w:rPr>
        <w:t>Este r</w:t>
      </w:r>
      <w:r w:rsidR="00253574">
        <w:rPr>
          <w:b/>
        </w:rPr>
        <w:t xml:space="preserve">esultado es consecuencia de </w:t>
      </w:r>
      <w:r w:rsidR="00A91092">
        <w:rPr>
          <w:b/>
        </w:rPr>
        <w:t xml:space="preserve">los </w:t>
      </w:r>
      <w:r w:rsidR="006E59D8">
        <w:rPr>
          <w:b/>
        </w:rPr>
        <w:t xml:space="preserve">menores </w:t>
      </w:r>
      <w:r w:rsidR="00A91092">
        <w:rPr>
          <w:b/>
        </w:rPr>
        <w:t>aumentos de este mes respecto del anterior.</w:t>
      </w:r>
    </w:p>
    <w:p w:rsidR="00B86336" w:rsidRDefault="00B86336" w:rsidP="009E4E04">
      <w:pPr>
        <w:jc w:val="both"/>
        <w:rPr>
          <w:b/>
        </w:rPr>
      </w:pPr>
    </w:p>
    <w:p w:rsidR="00CC77E7" w:rsidRDefault="009A22C4" w:rsidP="008C2E18">
      <w:pPr>
        <w:pStyle w:val="Encabezado"/>
        <w:jc w:val="both"/>
        <w:rPr>
          <w:rFonts w:cs="Arial"/>
        </w:rPr>
      </w:pPr>
      <w:r>
        <w:rPr>
          <w:rFonts w:cs="Arial"/>
          <w:noProof/>
        </w:rPr>
        <w:drawing>
          <wp:inline distT="0" distB="0" distL="0" distR="0" wp14:anchorId="26706F91">
            <wp:extent cx="5638800" cy="6477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165" cy="6476271"/>
                    </a:xfrm>
                    <a:prstGeom prst="rect">
                      <a:avLst/>
                    </a:prstGeom>
                    <a:noFill/>
                  </pic:spPr>
                </pic:pic>
              </a:graphicData>
            </a:graphic>
          </wp:inline>
        </w:drawing>
      </w:r>
    </w:p>
    <w:p w:rsidR="00DD178E" w:rsidRPr="00512F5D" w:rsidRDefault="00DD178E" w:rsidP="00512F5D">
      <w:pPr>
        <w:pStyle w:val="Encabezado"/>
        <w:jc w:val="center"/>
        <w:rPr>
          <w:rFonts w:cs="Arial"/>
        </w:rPr>
      </w:pPr>
    </w:p>
    <w:p w:rsidR="006908B0" w:rsidRDefault="006908B0" w:rsidP="00EE2405">
      <w:pPr>
        <w:jc w:val="both"/>
        <w:rPr>
          <w:rFonts w:ascii="Arial Black" w:hAnsi="Arial Black"/>
          <w:color w:val="008080"/>
          <w:sz w:val="28"/>
          <w:szCs w:val="28"/>
        </w:rPr>
      </w:pPr>
      <w:r>
        <w:rPr>
          <w:rFonts w:ascii="Arial Black" w:hAnsi="Arial Black"/>
          <w:color w:val="008080"/>
          <w:sz w:val="28"/>
          <w:szCs w:val="28"/>
        </w:rPr>
        <w:t>Análisi</w:t>
      </w:r>
      <w:r w:rsidR="002B74CD">
        <w:rPr>
          <w:rFonts w:ascii="Arial Black" w:hAnsi="Arial Black"/>
          <w:color w:val="008080"/>
          <w:sz w:val="28"/>
          <w:szCs w:val="28"/>
        </w:rPr>
        <w:t>s de la demanda de medicamentos</w:t>
      </w:r>
      <w:r>
        <w:rPr>
          <w:rFonts w:ascii="Arial Black" w:hAnsi="Arial Black"/>
          <w:color w:val="008080"/>
          <w:sz w:val="28"/>
          <w:szCs w:val="28"/>
        </w:rPr>
        <w:t xml:space="preserve"> </w:t>
      </w:r>
    </w:p>
    <w:p w:rsidR="006908B0" w:rsidRPr="005E0A66" w:rsidRDefault="006908B0" w:rsidP="00EE2405">
      <w:pPr>
        <w:jc w:val="both"/>
        <w:rPr>
          <w:color w:val="008080"/>
          <w:sz w:val="22"/>
          <w:szCs w:val="28"/>
        </w:rPr>
      </w:pPr>
    </w:p>
    <w:p w:rsidR="006908B0" w:rsidRPr="00AE2BC3" w:rsidRDefault="006908B0" w:rsidP="00EE2405">
      <w:pPr>
        <w:jc w:val="both"/>
        <w:rPr>
          <w:sz w:val="22"/>
        </w:rPr>
      </w:pPr>
      <w:r w:rsidRPr="00AE2BC3">
        <w:rPr>
          <w:sz w:val="22"/>
        </w:rPr>
        <w:t xml:space="preserve">Como en Observatorios anteriores, y desde que se puso en vigor el RDL 16/2012, venimos realizando un seguimiento de la demanda de medicamentos a través de la evolución en el consumo de recetas, que es un dato que </w:t>
      </w:r>
      <w:r w:rsidR="0078008E" w:rsidRPr="00AE2BC3">
        <w:rPr>
          <w:sz w:val="22"/>
        </w:rPr>
        <w:t xml:space="preserve">descendió </w:t>
      </w:r>
      <w:r w:rsidRPr="00AE2BC3">
        <w:rPr>
          <w:sz w:val="22"/>
        </w:rPr>
        <w:t xml:space="preserve">durante </w:t>
      </w:r>
      <w:r w:rsidR="00CC2912" w:rsidRPr="00AE2BC3">
        <w:rPr>
          <w:sz w:val="22"/>
        </w:rPr>
        <w:t xml:space="preserve">los primeros meses del </w:t>
      </w:r>
      <w:r w:rsidR="00CB5EFD" w:rsidRPr="00AE2BC3">
        <w:rPr>
          <w:sz w:val="22"/>
        </w:rPr>
        <w:t xml:space="preserve">año 2013 pero que aumenta a final de </w:t>
      </w:r>
      <w:r w:rsidR="00263142">
        <w:rPr>
          <w:sz w:val="22"/>
        </w:rPr>
        <w:t xml:space="preserve">ese </w:t>
      </w:r>
      <w:r w:rsidR="00CB5EFD" w:rsidRPr="00AE2BC3">
        <w:rPr>
          <w:sz w:val="22"/>
        </w:rPr>
        <w:t>año, mientras en 2014 presenta</w:t>
      </w:r>
      <w:r w:rsidR="00EB4AB7" w:rsidRPr="00AE2BC3">
        <w:rPr>
          <w:sz w:val="22"/>
        </w:rPr>
        <w:t xml:space="preserve"> descensos en</w:t>
      </w:r>
      <w:r w:rsidR="00A6638E" w:rsidRPr="00AE2BC3">
        <w:rPr>
          <w:sz w:val="22"/>
        </w:rPr>
        <w:t xml:space="preserve"> </w:t>
      </w:r>
      <w:r w:rsidR="00EB6A22">
        <w:rPr>
          <w:sz w:val="22"/>
        </w:rPr>
        <w:t>junio</w:t>
      </w:r>
      <w:r w:rsidR="00C711F0">
        <w:rPr>
          <w:sz w:val="22"/>
        </w:rPr>
        <w:t>, octubre y</w:t>
      </w:r>
      <w:r w:rsidR="00C711F0" w:rsidRPr="00C711F0">
        <w:rPr>
          <w:sz w:val="22"/>
        </w:rPr>
        <w:t xml:space="preserve"> noviembre</w:t>
      </w:r>
      <w:r w:rsidR="009513BE" w:rsidRPr="00AE2BC3">
        <w:rPr>
          <w:sz w:val="22"/>
        </w:rPr>
        <w:t xml:space="preserve">. </w:t>
      </w:r>
      <w:r w:rsidR="00F67B0D" w:rsidRPr="00AE2BC3">
        <w:rPr>
          <w:sz w:val="22"/>
        </w:rPr>
        <w:t xml:space="preserve">En 2015 </w:t>
      </w:r>
      <w:r w:rsidR="001B1C89" w:rsidRPr="00AE2BC3">
        <w:rPr>
          <w:sz w:val="22"/>
        </w:rPr>
        <w:t xml:space="preserve">ha venido </w:t>
      </w:r>
      <w:r w:rsidR="00F67B0D" w:rsidRPr="00AE2BC3">
        <w:rPr>
          <w:sz w:val="22"/>
        </w:rPr>
        <w:t xml:space="preserve">aumentando </w:t>
      </w:r>
      <w:r w:rsidR="006E59D8">
        <w:rPr>
          <w:sz w:val="22"/>
        </w:rPr>
        <w:t>en</w:t>
      </w:r>
      <w:r w:rsidR="00F67B0D" w:rsidRPr="00AE2BC3">
        <w:rPr>
          <w:sz w:val="22"/>
        </w:rPr>
        <w:t xml:space="preserve"> menor medida todos los meses</w:t>
      </w:r>
      <w:r w:rsidR="00B612C3" w:rsidRPr="00AE2BC3">
        <w:rPr>
          <w:sz w:val="22"/>
        </w:rPr>
        <w:t>, excepto en</w:t>
      </w:r>
      <w:r w:rsidR="00A6638E" w:rsidRPr="00AE2BC3">
        <w:rPr>
          <w:sz w:val="22"/>
        </w:rPr>
        <w:t xml:space="preserve"> </w:t>
      </w:r>
      <w:r w:rsidR="00B80132" w:rsidRPr="00AE2BC3">
        <w:rPr>
          <w:sz w:val="22"/>
        </w:rPr>
        <w:t>los</w:t>
      </w:r>
      <w:r w:rsidR="00A6638E" w:rsidRPr="00AE2BC3">
        <w:rPr>
          <w:sz w:val="22"/>
        </w:rPr>
        <w:t xml:space="preserve"> mes</w:t>
      </w:r>
      <w:r w:rsidR="00B80132" w:rsidRPr="00AE2BC3">
        <w:rPr>
          <w:sz w:val="22"/>
        </w:rPr>
        <w:t>es</w:t>
      </w:r>
      <w:r w:rsidR="00A6638E" w:rsidRPr="00AE2BC3">
        <w:rPr>
          <w:sz w:val="22"/>
        </w:rPr>
        <w:t xml:space="preserve"> de </w:t>
      </w:r>
      <w:r w:rsidR="00EB6A22">
        <w:rPr>
          <w:sz w:val="22"/>
        </w:rPr>
        <w:t>junio</w:t>
      </w:r>
      <w:r w:rsidR="00CC4C92" w:rsidRPr="00AE2BC3">
        <w:rPr>
          <w:sz w:val="22"/>
        </w:rPr>
        <w:t xml:space="preserve"> y </w:t>
      </w:r>
      <w:r w:rsidR="00DD178E" w:rsidRPr="00AE2BC3">
        <w:rPr>
          <w:sz w:val="22"/>
        </w:rPr>
        <w:t>octubre</w:t>
      </w:r>
      <w:r w:rsidR="007152B1" w:rsidRPr="00AE2BC3">
        <w:rPr>
          <w:sz w:val="22"/>
        </w:rPr>
        <w:t>.</w:t>
      </w:r>
      <w:r w:rsidR="001B1C89" w:rsidRPr="00AE2BC3">
        <w:rPr>
          <w:sz w:val="22"/>
        </w:rPr>
        <w:t xml:space="preserve"> Ahora en </w:t>
      </w:r>
      <w:r w:rsidR="004F7158">
        <w:rPr>
          <w:sz w:val="22"/>
        </w:rPr>
        <w:t>2017</w:t>
      </w:r>
      <w:r w:rsidR="001B1C89" w:rsidRPr="00AE2BC3">
        <w:rPr>
          <w:sz w:val="22"/>
        </w:rPr>
        <w:t xml:space="preserve">, en los </w:t>
      </w:r>
      <w:r w:rsidR="00F04A3B">
        <w:rPr>
          <w:sz w:val="22"/>
        </w:rPr>
        <w:t>cinco</w:t>
      </w:r>
      <w:r w:rsidR="001B1C89" w:rsidRPr="00AE2BC3">
        <w:rPr>
          <w:sz w:val="22"/>
        </w:rPr>
        <w:t xml:space="preserve"> meses transcurridos el balance es positivo</w:t>
      </w:r>
      <w:r w:rsidR="00A91092">
        <w:rPr>
          <w:sz w:val="22"/>
        </w:rPr>
        <w:t xml:space="preserve">, aunque </w:t>
      </w:r>
      <w:r w:rsidR="003E02BA">
        <w:rPr>
          <w:sz w:val="22"/>
        </w:rPr>
        <w:t>ha desc</w:t>
      </w:r>
      <w:r w:rsidR="006E59D8">
        <w:rPr>
          <w:sz w:val="22"/>
        </w:rPr>
        <w:t>endido en los meses de febrero,</w:t>
      </w:r>
      <w:r w:rsidR="003E02BA">
        <w:rPr>
          <w:sz w:val="22"/>
        </w:rPr>
        <w:t xml:space="preserve"> abril</w:t>
      </w:r>
      <w:r w:rsidR="006E59D8">
        <w:rPr>
          <w:sz w:val="22"/>
        </w:rPr>
        <w:t xml:space="preserve"> y junio</w:t>
      </w:r>
      <w:r w:rsidR="003E02BA">
        <w:rPr>
          <w:sz w:val="22"/>
        </w:rPr>
        <w:t>.</w:t>
      </w:r>
    </w:p>
    <w:p w:rsidR="00CC2912" w:rsidRPr="00AE2BC3" w:rsidRDefault="00CC2912" w:rsidP="00EE2405">
      <w:pPr>
        <w:jc w:val="both"/>
        <w:rPr>
          <w:b/>
          <w:sz w:val="22"/>
        </w:rPr>
      </w:pPr>
    </w:p>
    <w:p w:rsidR="004B45F1" w:rsidRPr="00AE2BC3" w:rsidRDefault="007A23DB" w:rsidP="00EE2405">
      <w:pPr>
        <w:jc w:val="both"/>
        <w:rPr>
          <w:b/>
          <w:sz w:val="22"/>
        </w:rPr>
      </w:pPr>
      <w:r w:rsidRPr="00AE2BC3">
        <w:rPr>
          <w:b/>
          <w:sz w:val="22"/>
        </w:rPr>
        <w:t>E</w:t>
      </w:r>
      <w:r w:rsidR="006908B0" w:rsidRPr="00AE2BC3">
        <w:rPr>
          <w:b/>
          <w:sz w:val="22"/>
        </w:rPr>
        <w:t>l efecto disuasorio del copago</w:t>
      </w:r>
      <w:r w:rsidR="003E5CE9" w:rsidRPr="00AE2BC3">
        <w:rPr>
          <w:b/>
          <w:sz w:val="22"/>
        </w:rPr>
        <w:t xml:space="preserve"> se encuentra en los meses anteriores en una fase de recuperación</w:t>
      </w:r>
      <w:r w:rsidR="00F872CB" w:rsidRPr="00AE2BC3">
        <w:rPr>
          <w:b/>
          <w:sz w:val="22"/>
        </w:rPr>
        <w:t xml:space="preserve">, </w:t>
      </w:r>
      <w:r w:rsidR="006908B0" w:rsidRPr="00AE2BC3">
        <w:rPr>
          <w:b/>
          <w:sz w:val="22"/>
        </w:rPr>
        <w:t>un hecho que</w:t>
      </w:r>
      <w:r w:rsidR="00D95A50" w:rsidRPr="00AE2BC3">
        <w:rPr>
          <w:b/>
          <w:sz w:val="22"/>
        </w:rPr>
        <w:t xml:space="preserve"> </w:t>
      </w:r>
      <w:r w:rsidR="000F2636" w:rsidRPr="00AE2BC3">
        <w:rPr>
          <w:b/>
          <w:sz w:val="22"/>
        </w:rPr>
        <w:t xml:space="preserve">como ya apuntamos </w:t>
      </w:r>
      <w:r w:rsidR="00D95A50" w:rsidRPr="00AE2BC3">
        <w:rPr>
          <w:b/>
          <w:sz w:val="22"/>
        </w:rPr>
        <w:t>en su momento</w:t>
      </w:r>
      <w:r w:rsidR="005B231F" w:rsidRPr="00AE2BC3">
        <w:rPr>
          <w:b/>
          <w:sz w:val="22"/>
        </w:rPr>
        <w:t>,</w:t>
      </w:r>
      <w:r w:rsidR="00D95A50" w:rsidRPr="00AE2BC3">
        <w:rPr>
          <w:b/>
          <w:sz w:val="22"/>
        </w:rPr>
        <w:t xml:space="preserve"> </w:t>
      </w:r>
      <w:r w:rsidR="000F2636" w:rsidRPr="00AE2BC3">
        <w:rPr>
          <w:b/>
          <w:sz w:val="22"/>
        </w:rPr>
        <w:t xml:space="preserve">tendría </w:t>
      </w:r>
      <w:r w:rsidR="006908B0" w:rsidRPr="00AE2BC3">
        <w:rPr>
          <w:b/>
          <w:sz w:val="22"/>
        </w:rPr>
        <w:t>una duración limitada en el tiempo,</w:t>
      </w:r>
      <w:r w:rsidR="003E5CE9" w:rsidRPr="00AE2BC3">
        <w:rPr>
          <w:b/>
          <w:sz w:val="22"/>
        </w:rPr>
        <w:t xml:space="preserve"> </w:t>
      </w:r>
      <w:r w:rsidR="00AE2BC3" w:rsidRPr="00AE2BC3">
        <w:rPr>
          <w:b/>
          <w:sz w:val="22"/>
        </w:rPr>
        <w:t xml:space="preserve">y </w:t>
      </w:r>
      <w:r w:rsidR="003E5CE9" w:rsidRPr="00AE2BC3">
        <w:rPr>
          <w:b/>
          <w:sz w:val="22"/>
        </w:rPr>
        <w:t xml:space="preserve">en este mes </w:t>
      </w:r>
      <w:r w:rsidR="00AE2BC3" w:rsidRPr="00AE2BC3">
        <w:rPr>
          <w:b/>
          <w:sz w:val="22"/>
        </w:rPr>
        <w:t xml:space="preserve">experimenta un </w:t>
      </w:r>
      <w:r w:rsidR="006E59D8">
        <w:rPr>
          <w:b/>
          <w:sz w:val="22"/>
        </w:rPr>
        <w:t xml:space="preserve">ligero descenso </w:t>
      </w:r>
      <w:r w:rsidR="00AE2BC3" w:rsidRPr="00AE2BC3">
        <w:rPr>
          <w:b/>
          <w:sz w:val="22"/>
        </w:rPr>
        <w:t xml:space="preserve">la </w:t>
      </w:r>
      <w:r w:rsidR="00253A56" w:rsidRPr="00AE2BC3">
        <w:rPr>
          <w:b/>
          <w:sz w:val="22"/>
        </w:rPr>
        <w:t>demanda de recetas</w:t>
      </w:r>
      <w:r w:rsidR="00AE2BC3" w:rsidRPr="00AE2BC3">
        <w:rPr>
          <w:b/>
          <w:sz w:val="22"/>
        </w:rPr>
        <w:t>.</w:t>
      </w:r>
    </w:p>
    <w:p w:rsidR="00A26AEB" w:rsidRPr="00AE2BC3" w:rsidRDefault="00A26AEB" w:rsidP="00EE2405">
      <w:pPr>
        <w:jc w:val="both"/>
        <w:rPr>
          <w:rFonts w:ascii="Verdana" w:hAnsi="Verdana"/>
          <w:sz w:val="22"/>
        </w:rPr>
      </w:pPr>
    </w:p>
    <w:p w:rsidR="006908B0" w:rsidRPr="00AE2BC3" w:rsidRDefault="006908B0" w:rsidP="00CA6CA4">
      <w:pPr>
        <w:jc w:val="both"/>
        <w:rPr>
          <w:sz w:val="22"/>
        </w:rPr>
      </w:pPr>
      <w:r w:rsidRPr="00AE2BC3">
        <w:rPr>
          <w:sz w:val="22"/>
        </w:rPr>
        <w:t xml:space="preserve">La evolución del consumo de recetas, respecto al mismo mes del año anterior es la que aparece en el gráfico siguiente. Nos encontramos </w:t>
      </w:r>
      <w:r w:rsidR="00CC2912" w:rsidRPr="00AE2BC3">
        <w:rPr>
          <w:sz w:val="22"/>
        </w:rPr>
        <w:t xml:space="preserve">en la </w:t>
      </w:r>
      <w:r w:rsidR="003E02BA">
        <w:rPr>
          <w:sz w:val="22"/>
        </w:rPr>
        <w:t>primera parte del año 2017</w:t>
      </w:r>
      <w:r w:rsidR="00BC0E20" w:rsidRPr="00AE2BC3">
        <w:rPr>
          <w:sz w:val="22"/>
        </w:rPr>
        <w:t xml:space="preserve"> </w:t>
      </w:r>
      <w:r w:rsidRPr="00AE2BC3">
        <w:rPr>
          <w:sz w:val="22"/>
        </w:rPr>
        <w:t xml:space="preserve">en un proceso de </w:t>
      </w:r>
      <w:r w:rsidR="001F3C18" w:rsidRPr="00AE2BC3">
        <w:rPr>
          <w:sz w:val="22"/>
        </w:rPr>
        <w:t xml:space="preserve">aumento </w:t>
      </w:r>
      <w:r w:rsidRPr="00AE2BC3">
        <w:rPr>
          <w:sz w:val="22"/>
        </w:rPr>
        <w:t>en el número de recetas</w:t>
      </w:r>
      <w:r w:rsidR="00B612C3" w:rsidRPr="00AE2BC3">
        <w:rPr>
          <w:sz w:val="22"/>
        </w:rPr>
        <w:t>,</w:t>
      </w:r>
      <w:r w:rsidR="00FC44B7" w:rsidRPr="00AE2BC3">
        <w:rPr>
          <w:sz w:val="22"/>
        </w:rPr>
        <w:t xml:space="preserve"> </w:t>
      </w:r>
      <w:r w:rsidR="00253A56" w:rsidRPr="00AE2BC3">
        <w:rPr>
          <w:sz w:val="22"/>
        </w:rPr>
        <w:t xml:space="preserve">algo que se acredita </w:t>
      </w:r>
      <w:r w:rsidR="00AE2BC3" w:rsidRPr="00AE2BC3">
        <w:rPr>
          <w:sz w:val="22"/>
        </w:rPr>
        <w:t xml:space="preserve">actualmente </w:t>
      </w:r>
      <w:r w:rsidR="00253A56" w:rsidRPr="00AE2BC3">
        <w:rPr>
          <w:sz w:val="22"/>
        </w:rPr>
        <w:t>en</w:t>
      </w:r>
      <w:r w:rsidR="00731A0E" w:rsidRPr="00AE2BC3">
        <w:rPr>
          <w:sz w:val="22"/>
        </w:rPr>
        <w:t xml:space="preserve"> el acumulado interanual</w:t>
      </w:r>
      <w:r w:rsidR="00253A56" w:rsidRPr="00AE2BC3">
        <w:rPr>
          <w:sz w:val="22"/>
        </w:rPr>
        <w:t xml:space="preserve">, ya que </w:t>
      </w:r>
      <w:r w:rsidR="00731A0E" w:rsidRPr="00AE2BC3">
        <w:rPr>
          <w:sz w:val="22"/>
        </w:rPr>
        <w:t xml:space="preserve">se produce un aumento de </w:t>
      </w:r>
      <w:r w:rsidR="006E59D8">
        <w:rPr>
          <w:sz w:val="22"/>
        </w:rPr>
        <w:t>11,3</w:t>
      </w:r>
      <w:r w:rsidR="00A6638E" w:rsidRPr="00AE2BC3">
        <w:rPr>
          <w:sz w:val="22"/>
        </w:rPr>
        <w:t xml:space="preserve"> </w:t>
      </w:r>
      <w:r w:rsidR="00731A0E" w:rsidRPr="00AE2BC3">
        <w:rPr>
          <w:sz w:val="22"/>
        </w:rPr>
        <w:t>millones de recetas</w:t>
      </w:r>
      <w:r w:rsidR="009513BE" w:rsidRPr="00AE2BC3">
        <w:rPr>
          <w:sz w:val="22"/>
        </w:rPr>
        <w:t>.</w:t>
      </w:r>
    </w:p>
    <w:p w:rsidR="00BD275B" w:rsidRPr="00AE2BC3" w:rsidRDefault="00BD275B" w:rsidP="00CA6CA4">
      <w:pPr>
        <w:jc w:val="both"/>
        <w:rPr>
          <w:sz w:val="20"/>
        </w:rPr>
      </w:pPr>
    </w:p>
    <w:p w:rsidR="00BD275B" w:rsidRPr="00AE2BC3" w:rsidRDefault="009A22C4" w:rsidP="00BD275B">
      <w:pPr>
        <w:jc w:val="center"/>
        <w:rPr>
          <w:sz w:val="20"/>
        </w:rPr>
      </w:pPr>
      <w:r>
        <w:rPr>
          <w:noProof/>
        </w:rPr>
        <w:drawing>
          <wp:inline distT="0" distB="0" distL="0" distR="0" wp14:anchorId="7A45AACC" wp14:editId="5DB6531D">
            <wp:extent cx="4238625" cy="27813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13BE" w:rsidRPr="00AE2BC3" w:rsidRDefault="009513BE" w:rsidP="00CA6CA4">
      <w:pPr>
        <w:jc w:val="both"/>
        <w:rPr>
          <w:sz w:val="22"/>
        </w:rPr>
      </w:pPr>
    </w:p>
    <w:p w:rsidR="00CC2912" w:rsidRPr="00AE2BC3" w:rsidRDefault="006908B0" w:rsidP="00CA6CA4">
      <w:pPr>
        <w:jc w:val="both"/>
        <w:rPr>
          <w:b/>
          <w:sz w:val="22"/>
          <w:szCs w:val="28"/>
        </w:rPr>
      </w:pPr>
      <w:r w:rsidRPr="00AE2BC3">
        <w:rPr>
          <w:sz w:val="22"/>
          <w:szCs w:val="28"/>
        </w:rPr>
        <w:t xml:space="preserve">Aunque no se han proporcionado datos globales de la cuantía que hay que atribuir al ahorro de la nueva aportación de los beneficiarios, existen datos </w:t>
      </w:r>
      <w:r w:rsidR="001F3C18" w:rsidRPr="00AE2BC3">
        <w:rPr>
          <w:sz w:val="22"/>
          <w:szCs w:val="28"/>
        </w:rPr>
        <w:t xml:space="preserve">procedentes de la facturación de recetas </w:t>
      </w:r>
      <w:r w:rsidRPr="00AE2BC3">
        <w:rPr>
          <w:sz w:val="22"/>
          <w:szCs w:val="28"/>
        </w:rPr>
        <w:t>que indican que el porcentaje de</w:t>
      </w:r>
      <w:r w:rsidR="00BC091E">
        <w:rPr>
          <w:sz w:val="22"/>
          <w:szCs w:val="28"/>
        </w:rPr>
        <w:t xml:space="preserve"> aportación ha pasado del 6% a algo más de 9%</w:t>
      </w:r>
      <w:r w:rsidRPr="00AE2BC3">
        <w:rPr>
          <w:sz w:val="22"/>
          <w:szCs w:val="28"/>
        </w:rPr>
        <w:t xml:space="preserve">, </w:t>
      </w:r>
      <w:r w:rsidRPr="00AE2BC3">
        <w:rPr>
          <w:b/>
          <w:sz w:val="22"/>
          <w:szCs w:val="28"/>
        </w:rPr>
        <w:t>por lo que la cuantía del ahorro debido exclusivamente a la cantidad pagada por los usuarios y no pagada por el Sistema Nacional de Salud</w:t>
      </w:r>
      <w:r w:rsidR="008257DA" w:rsidRPr="00AE2BC3">
        <w:rPr>
          <w:b/>
          <w:sz w:val="22"/>
          <w:szCs w:val="28"/>
        </w:rPr>
        <w:t xml:space="preserve"> estaría en torno a la mitad de todo el descenso del gasto desde que se implantó el copago a los pensionistas.</w:t>
      </w:r>
    </w:p>
    <w:p w:rsidR="002F6D5B" w:rsidRDefault="002F6D5B" w:rsidP="00CA6CA4">
      <w:pPr>
        <w:jc w:val="both"/>
        <w:rPr>
          <w:b/>
          <w:szCs w:val="28"/>
        </w:rPr>
      </w:pPr>
    </w:p>
    <w:p w:rsidR="00AE2BC3" w:rsidRPr="00C104E5" w:rsidRDefault="00AE2BC3" w:rsidP="00CA6CA4">
      <w:pPr>
        <w:jc w:val="both"/>
        <w:rPr>
          <w:b/>
          <w:szCs w:val="28"/>
        </w:rPr>
      </w:pPr>
      <w:r w:rsidRPr="00C104E5">
        <w:rPr>
          <w:b/>
          <w:szCs w:val="28"/>
        </w:rPr>
        <w:t>En algunas Comu</w:t>
      </w:r>
      <w:r w:rsidR="005E6FA8" w:rsidRPr="00C104E5">
        <w:rPr>
          <w:b/>
          <w:szCs w:val="28"/>
        </w:rPr>
        <w:t>nidades como la valenciana comenzó en febrero</w:t>
      </w:r>
      <w:r w:rsidR="008E5CA1">
        <w:rPr>
          <w:b/>
          <w:szCs w:val="28"/>
        </w:rPr>
        <w:t xml:space="preserve"> 2016</w:t>
      </w:r>
      <w:r w:rsidR="00C711F0" w:rsidRPr="00C104E5">
        <w:rPr>
          <w:b/>
          <w:szCs w:val="28"/>
        </w:rPr>
        <w:t xml:space="preserve"> a subvencionarse </w:t>
      </w:r>
      <w:r w:rsidRPr="00C104E5">
        <w:rPr>
          <w:b/>
          <w:szCs w:val="28"/>
        </w:rPr>
        <w:t xml:space="preserve">la aportación a pensionistas y otros colectivos desfavorecidos con lo que se </w:t>
      </w:r>
      <w:r w:rsidR="005E6FA8" w:rsidRPr="00C104E5">
        <w:rPr>
          <w:b/>
          <w:szCs w:val="28"/>
        </w:rPr>
        <w:t xml:space="preserve">está produciendo </w:t>
      </w:r>
      <w:r w:rsidRPr="00C104E5">
        <w:rPr>
          <w:b/>
          <w:szCs w:val="28"/>
        </w:rPr>
        <w:t>un repunte en el consumo de recetas.</w:t>
      </w:r>
    </w:p>
    <w:p w:rsidR="00517411" w:rsidRPr="00517411" w:rsidRDefault="00517411" w:rsidP="00517411">
      <w:pPr>
        <w:rPr>
          <w:rFonts w:ascii="Arial Black" w:hAnsi="Arial Black"/>
          <w:b/>
          <w:color w:val="31849B" w:themeColor="accent5" w:themeShade="BF"/>
          <w:sz w:val="28"/>
        </w:rPr>
      </w:pPr>
      <w:r w:rsidRPr="00517411">
        <w:rPr>
          <w:rFonts w:ascii="Arial Black" w:hAnsi="Arial Black"/>
          <w:b/>
          <w:color w:val="31849B" w:themeColor="accent5" w:themeShade="BF"/>
          <w:sz w:val="28"/>
        </w:rPr>
        <w:t>EL MERCADO FARMACÉUTICO  DE 1016: EVOLUCIÓN Y PREVISIONES</w:t>
      </w:r>
    </w:p>
    <w:p w:rsidR="00517411" w:rsidRDefault="00517411" w:rsidP="00517411"/>
    <w:p w:rsidR="00517411" w:rsidRDefault="00517411" w:rsidP="00517411">
      <w:pPr>
        <w:jc w:val="both"/>
      </w:pPr>
      <w:r>
        <w:t xml:space="preserve">El consumo total de medicamentos en 2016 alcanzó la cifra de 18.800 millones de euros a Precio de Venta de Laboratorio (PVL), una cantidad que incluye la venta en las oficinas de farmacia y en hospitales, situando a nuestro país como uno de los </w:t>
      </w:r>
      <w:r w:rsidR="00996DE8">
        <w:t>primeros</w:t>
      </w:r>
      <w:r>
        <w:t xml:space="preserve"> mercados farmacéuticos más importantes del mundo. </w:t>
      </w:r>
      <w:r w:rsidR="006E59D8">
        <w:t>Esta cifra</w:t>
      </w:r>
      <w:r>
        <w:t xml:space="preserve"> requiere una explicación algo más pormenorizada como la que se expresa gráficamente en el Esquema I, en el que podemos observar, como el mercado hospitalario, 9.200 millones casi alcanza a PVL el de las oficinas de farmacia que fue de 9,600 millones. En ese mismo esquema también se indica los porcentajes de mercado financiado por el Sistema Nacional de Salud dentro de cada uno de estos grandes submercados.</w:t>
      </w:r>
    </w:p>
    <w:p w:rsidR="006E59D8" w:rsidRDefault="006E59D8" w:rsidP="00517411">
      <w:pPr>
        <w:jc w:val="both"/>
      </w:pPr>
    </w:p>
    <w:p w:rsidR="006E59D8" w:rsidRPr="002F4F31" w:rsidRDefault="006E59D8" w:rsidP="006E59D8">
      <w:pPr>
        <w:rPr>
          <w:b/>
        </w:rPr>
      </w:pPr>
      <w:r w:rsidRPr="002F4F31">
        <w:rPr>
          <w:b/>
        </w:rPr>
        <w:t>Esquema I Principales componente</w:t>
      </w:r>
      <w:r>
        <w:rPr>
          <w:b/>
        </w:rPr>
        <w:t>s</w:t>
      </w:r>
      <w:r w:rsidRPr="002F4F31">
        <w:rPr>
          <w:b/>
        </w:rPr>
        <w:t xml:space="preserve"> del mercado.</w:t>
      </w:r>
    </w:p>
    <w:p w:rsidR="006E59D8" w:rsidRDefault="006E59D8" w:rsidP="00996DE8">
      <w:pPr>
        <w:pBdr>
          <w:top w:val="single" w:sz="4" w:space="1" w:color="auto"/>
          <w:left w:val="single" w:sz="4" w:space="4" w:color="auto"/>
          <w:bottom w:val="single" w:sz="4" w:space="1" w:color="auto"/>
          <w:right w:val="single" w:sz="4" w:space="4" w:color="auto"/>
        </w:pBdr>
        <w:shd w:val="clear" w:color="auto" w:fill="B6DDE8" w:themeFill="accent5" w:themeFillTint="66"/>
      </w:pPr>
    </w:p>
    <w:p w:rsidR="006E59D8" w:rsidRDefault="006E59D8" w:rsidP="00996DE8">
      <w:pPr>
        <w:pBdr>
          <w:top w:val="single" w:sz="4" w:space="1" w:color="auto"/>
          <w:left w:val="single" w:sz="4" w:space="4" w:color="auto"/>
          <w:bottom w:val="single" w:sz="4" w:space="1" w:color="auto"/>
          <w:right w:val="single" w:sz="4" w:space="4" w:color="auto"/>
        </w:pBdr>
        <w:shd w:val="clear" w:color="auto" w:fill="B6DDE8" w:themeFill="accent5" w:themeFillTint="66"/>
        <w:jc w:val="center"/>
      </w:pPr>
      <w:r>
        <w:rPr>
          <w:noProof/>
        </w:rPr>
        <w:drawing>
          <wp:inline distT="0" distB="0" distL="0" distR="0" wp14:anchorId="309A0D8E" wp14:editId="2106BFC1">
            <wp:extent cx="2895600" cy="218463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ado tot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4918" cy="2191668"/>
                    </a:xfrm>
                    <a:prstGeom prst="rect">
                      <a:avLst/>
                    </a:prstGeom>
                  </pic:spPr>
                </pic:pic>
              </a:graphicData>
            </a:graphic>
          </wp:inline>
        </w:drawing>
      </w:r>
    </w:p>
    <w:p w:rsidR="006E59D8" w:rsidRDefault="00996DE8" w:rsidP="00996DE8">
      <w:pPr>
        <w:pBdr>
          <w:top w:val="single" w:sz="4" w:space="1" w:color="auto"/>
          <w:left w:val="single" w:sz="4" w:space="4" w:color="auto"/>
          <w:bottom w:val="single" w:sz="4" w:space="1" w:color="auto"/>
          <w:right w:val="single" w:sz="4" w:space="4" w:color="auto"/>
        </w:pBdr>
        <w:shd w:val="clear" w:color="auto" w:fill="B6DDE8" w:themeFill="accent5" w:themeFillTint="66"/>
      </w:pPr>
      <w:r>
        <w:rPr>
          <w:noProof/>
        </w:rPr>
        <w:pict>
          <v:shapetype id="_x0000_t202" coordsize="21600,21600" o:spt="202" path="m,l,21600r21600,l21600,xe">
            <v:stroke joinstyle="miter"/>
            <v:path gradientshapeok="t" o:connecttype="rect"/>
          </v:shapetype>
          <v:shape id="1 Cuadro de texto" o:spid="_x0000_s1044" type="#_x0000_t202" style="position:absolute;margin-left:279.05pt;margin-top:6.65pt;width:77.4pt;height:38pt;z-index:25166643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" fillcolor="#e5b8b7 [1301]" strokeweight=".5pt">
            <v:textbox>
              <w:txbxContent>
                <w:p w:rsidR="006E59D8" w:rsidRDefault="006E59D8" w:rsidP="006E59D8">
                  <w:pPr>
                    <w:rPr>
                      <w:sz w:val="20"/>
                    </w:rPr>
                  </w:pPr>
                  <w:r w:rsidRPr="008064B1">
                    <w:rPr>
                      <w:sz w:val="20"/>
                    </w:rPr>
                    <w:t>Total</w:t>
                  </w:r>
                </w:p>
                <w:p w:rsidR="00996DE8" w:rsidRPr="00996DE8" w:rsidRDefault="00996DE8" w:rsidP="006E59D8">
                  <w:pPr>
                    <w:rPr>
                      <w:b/>
                      <w:sz w:val="12"/>
                    </w:rPr>
                  </w:pPr>
                  <w:r w:rsidRPr="00996DE8">
                    <w:rPr>
                      <w:sz w:val="16"/>
                    </w:rPr>
                    <w:t>18.800</w:t>
                  </w:r>
                  <w:r>
                    <w:rPr>
                      <w:sz w:val="16"/>
                    </w:rPr>
                    <w:t xml:space="preserve"> Mi</w:t>
                  </w:r>
                  <w:r w:rsidRPr="00996DE8">
                    <w:rPr>
                      <w:sz w:val="16"/>
                    </w:rPr>
                    <w:t>llones</w:t>
                  </w:r>
                </w:p>
              </w:txbxContent>
            </v:textbox>
          </v:shape>
        </w:pict>
      </w:r>
      <w:r w:rsidR="008064B1">
        <w:rPr>
          <w:noProof/>
        </w:rPr>
        <w:pict>
          <v:shape id="3 Cuadro de texto" o:spid="_x0000_s1042" type="#_x0000_t202" style="position:absolute;margin-left:86.2pt;margin-top:7.15pt;width:65.25pt;height:37.75pt;z-index:251664384;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" fillcolor="#95b3d7 [1940]" strokeweight=".5pt">
            <v:textbox>
              <w:txbxContent>
                <w:p w:rsidR="006E59D8" w:rsidRPr="008064B1" w:rsidRDefault="006E59D8" w:rsidP="006E59D8">
                  <w:pPr>
                    <w:rPr>
                      <w:sz w:val="20"/>
                    </w:rPr>
                  </w:pPr>
                  <w:r w:rsidRPr="008064B1">
                    <w:rPr>
                      <w:sz w:val="20"/>
                    </w:rPr>
                    <w:t xml:space="preserve">Oficinas de </w:t>
                  </w:r>
                </w:p>
                <w:p w:rsidR="006E59D8" w:rsidRPr="008064B1" w:rsidRDefault="006E59D8" w:rsidP="006E59D8">
                  <w:pPr>
                    <w:rPr>
                      <w:sz w:val="20"/>
                    </w:rPr>
                  </w:pPr>
                  <w:r w:rsidRPr="008064B1">
                    <w:rPr>
                      <w:sz w:val="20"/>
                    </w:rPr>
                    <w:t>Farmacia</w:t>
                  </w:r>
                </w:p>
              </w:txbxContent>
            </v:textbox>
          </v:shape>
        </w:pict>
      </w:r>
      <w:r w:rsidR="008064B1">
        <w:rPr>
          <w:noProof/>
        </w:rPr>
        <w:pict>
          <v:shape id="7 Cuadro de texto" o:spid="_x0000_s1043" type="#_x0000_t202" style="position:absolute;margin-left:155.2pt;margin-top:6.9pt;width:68.25pt;height:38pt;z-index:251665408;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" fillcolor="#ffc000" strokeweight=".5pt">
            <v:textbox>
              <w:txbxContent>
                <w:p w:rsidR="006E59D8" w:rsidRPr="008064B1" w:rsidRDefault="006E59D8" w:rsidP="006E59D8">
                  <w:pPr>
                    <w:rPr>
                      <w:sz w:val="20"/>
                    </w:rPr>
                  </w:pPr>
                  <w:r w:rsidRPr="008064B1">
                    <w:rPr>
                      <w:sz w:val="20"/>
                    </w:rPr>
                    <w:t>Hospitales</w:t>
                  </w:r>
                </w:p>
              </w:txbxContent>
            </v:textbox>
          </v:shape>
        </w:pict>
      </w:r>
    </w:p>
    <w:p w:rsidR="006E59D8" w:rsidRDefault="006E59D8" w:rsidP="00996DE8">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6521"/>
        </w:tabs>
      </w:pPr>
      <w:r>
        <w:tab/>
      </w:r>
    </w:p>
    <w:p w:rsidR="006E59D8" w:rsidRDefault="006E59D8" w:rsidP="00996DE8">
      <w:pPr>
        <w:pBdr>
          <w:top w:val="single" w:sz="4" w:space="1" w:color="auto"/>
          <w:left w:val="single" w:sz="4" w:space="4" w:color="auto"/>
          <w:bottom w:val="single" w:sz="4" w:space="1" w:color="auto"/>
          <w:right w:val="single" w:sz="4" w:space="4" w:color="auto"/>
        </w:pBdr>
        <w:shd w:val="clear" w:color="auto" w:fill="B6DDE8" w:themeFill="accent5" w:themeFillTint="66"/>
      </w:pPr>
    </w:p>
    <w:p w:rsidR="006E59D8" w:rsidRDefault="006E59D8" w:rsidP="00996DE8">
      <w:pPr>
        <w:pBdr>
          <w:top w:val="single" w:sz="4" w:space="1" w:color="auto"/>
          <w:left w:val="single" w:sz="4" w:space="4" w:color="auto"/>
          <w:bottom w:val="single" w:sz="4" w:space="1" w:color="auto"/>
          <w:right w:val="single" w:sz="4" w:space="4" w:color="auto"/>
        </w:pBdr>
        <w:shd w:val="clear" w:color="auto" w:fill="B6DDE8" w:themeFill="accent5" w:themeFillTint="66"/>
      </w:pPr>
    </w:p>
    <w:p w:rsidR="006E59D8" w:rsidRDefault="006E59D8" w:rsidP="00996DE8">
      <w:pPr>
        <w:pBdr>
          <w:top w:val="single" w:sz="4" w:space="1" w:color="auto"/>
          <w:left w:val="single" w:sz="4" w:space="4" w:color="auto"/>
          <w:bottom w:val="single" w:sz="4" w:space="1" w:color="auto"/>
          <w:right w:val="single" w:sz="4" w:space="4" w:color="auto"/>
        </w:pBdr>
        <w:shd w:val="clear" w:color="auto" w:fill="B6DDE8" w:themeFill="accent5" w:themeFillTint="66"/>
      </w:pPr>
    </w:p>
    <w:p w:rsidR="006E59D8" w:rsidRDefault="006E59D8" w:rsidP="006E59D8"/>
    <w:p w:rsidR="00517411" w:rsidRPr="008064B1" w:rsidRDefault="00517411" w:rsidP="00517411">
      <w:pPr>
        <w:jc w:val="both"/>
        <w:rPr>
          <w:b/>
          <w:color w:val="31849B" w:themeColor="accent5" w:themeShade="BF"/>
        </w:rPr>
      </w:pPr>
      <w:r w:rsidRPr="008064B1">
        <w:rPr>
          <w:b/>
          <w:color w:val="31849B" w:themeColor="accent5" w:themeShade="BF"/>
        </w:rPr>
        <w:t>MERCADO HOSPITALARIO</w:t>
      </w:r>
    </w:p>
    <w:p w:rsidR="00517411" w:rsidRDefault="00517411" w:rsidP="00517411">
      <w:pPr>
        <w:jc w:val="both"/>
      </w:pPr>
    </w:p>
    <w:p w:rsidR="00517411" w:rsidRDefault="00517411" w:rsidP="00517411">
      <w:pPr>
        <w:jc w:val="both"/>
      </w:pPr>
      <w:r>
        <w:t>La primera conclusión ante estas cifras el que el mercado farmacéutico español ha cambiado su composición en los últimos cinco años y que los precios de los medicamentos hospitalarios son el factor determinante de ese cambio, algo que se puede apreciar en los gráficos I y II. El crecimiento del mercado está dirigido por los medicamentos hospitalarios, en muchos de los cuales no hay justificación de dispensación exclusiva en hospitales, ya que como se ha puesto de manifiesto por FEFE el consumo interno de los hospitales, es decir para las personas hospitalizadas,  solo alcanza el 17% en valores, mientras que los pacientes externos y ambulantes consumen el 83,2%.</w:t>
      </w:r>
    </w:p>
    <w:p w:rsidR="006E59D8" w:rsidRDefault="006E59D8" w:rsidP="00517411">
      <w:pPr>
        <w:jc w:val="both"/>
      </w:pPr>
    </w:p>
    <w:p w:rsidR="006E59D8" w:rsidRPr="006B2797" w:rsidRDefault="006E59D8" w:rsidP="00494DEC">
      <w:pPr>
        <w:ind w:left="708" w:firstLine="708"/>
        <w:rPr>
          <w:b/>
        </w:rPr>
      </w:pPr>
      <w:r w:rsidRPr="006B2797">
        <w:rPr>
          <w:b/>
        </w:rPr>
        <w:t>Grafico I</w:t>
      </w:r>
      <w:r>
        <w:rPr>
          <w:b/>
        </w:rPr>
        <w:t>. Mercado total a PVL</w:t>
      </w:r>
    </w:p>
    <w:p w:rsidR="006E59D8" w:rsidRDefault="006E59D8" w:rsidP="006E59D8"/>
    <w:p w:rsidR="006E59D8" w:rsidRDefault="006E59D8" w:rsidP="006E59D8">
      <w:pPr>
        <w:jc w:val="center"/>
      </w:pPr>
      <w:r>
        <w:rPr>
          <w:noProof/>
        </w:rPr>
        <w:drawing>
          <wp:inline distT="0" distB="0" distL="0" distR="0" wp14:anchorId="50760B5C" wp14:editId="5B9E9BBE">
            <wp:extent cx="3629025" cy="225742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7411" w:rsidRDefault="006E59D8" w:rsidP="00494DEC">
      <w:r>
        <w:t xml:space="preserve">          </w:t>
      </w:r>
    </w:p>
    <w:p w:rsidR="006E59D8" w:rsidRPr="006E59D8" w:rsidRDefault="006E59D8" w:rsidP="00494DEC">
      <w:pPr>
        <w:ind w:firstLine="708"/>
        <w:rPr>
          <w:b/>
        </w:rPr>
      </w:pPr>
      <w:r w:rsidRPr="006E59D8">
        <w:rPr>
          <w:b/>
        </w:rPr>
        <w:t>Grafico II. Evolución del mercado de Oficina de Farmacia y Hospitales</w:t>
      </w:r>
    </w:p>
    <w:p w:rsidR="006E59D8" w:rsidRDefault="006E59D8" w:rsidP="006E59D8">
      <w:pPr>
        <w:jc w:val="center"/>
      </w:pPr>
      <w:r>
        <w:rPr>
          <w:noProof/>
        </w:rPr>
        <w:drawing>
          <wp:inline distT="0" distB="0" distL="0" distR="0" wp14:anchorId="3E2447E5" wp14:editId="10E6DF68">
            <wp:extent cx="3962400" cy="233362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59D8" w:rsidRDefault="006E59D8" w:rsidP="00517411">
      <w:pPr>
        <w:jc w:val="both"/>
      </w:pPr>
    </w:p>
    <w:p w:rsidR="00517411" w:rsidRDefault="00517411" w:rsidP="00517411">
      <w:pPr>
        <w:pStyle w:val="Cuerpo"/>
        <w:jc w:val="both"/>
        <w:rPr>
          <w:rStyle w:val="Ninguno"/>
          <w:color w:val="auto"/>
          <w:u w:color="008080"/>
        </w:rPr>
      </w:pPr>
      <w:r>
        <w:rPr>
          <w:rStyle w:val="Ninguno"/>
          <w:color w:val="auto"/>
          <w:u w:color="008080"/>
        </w:rPr>
        <w:t xml:space="preserve">El mercado hospitalario es el único que ha crecido durante los peores años de la crisis económica como lo atestiguan los datos ofrecido por la consultora QuintilesIMS. Su evolución hay que considerarla como mínimo anormal en los últimos años. El hecho de que la mayor parte del gasto hospitalario en medicamentos se dedique a pacientes </w:t>
      </w:r>
      <w:r w:rsidRPr="00100FCB">
        <w:rPr>
          <w:rStyle w:val="Ninguno"/>
          <w:b/>
          <w:color w:val="auto"/>
          <w:u w:color="008080"/>
        </w:rPr>
        <w:t>no hospitalizados o ambulantes</w:t>
      </w:r>
      <w:r>
        <w:rPr>
          <w:rStyle w:val="Ninguno"/>
          <w:color w:val="auto"/>
          <w:u w:color="008080"/>
        </w:rPr>
        <w:t xml:space="preserve"> ha tenido, y tiene, consecuencias sobre los pacientes que se ven obligados a desplazamientos y pérdida de jornadas de trabajo. En algunas Comunidades Autónomas se está produciendo una lenta pero sensible vuelta a la dispensación en las farmacias de los medicamentos que antes se dispensaban en los hospitales y a ello han contribuido tanto la especificación legal de cuáles son los medicamentos reservados a la dispensación hospitalaria como diversas sentencias de Tribunales Superiores de Justicia o el propio Tribunal Supremo.</w:t>
      </w:r>
    </w:p>
    <w:p w:rsidR="00517411" w:rsidRDefault="00517411" w:rsidP="00517411">
      <w:pPr>
        <w:pStyle w:val="Cuerpo"/>
        <w:jc w:val="both"/>
        <w:rPr>
          <w:rStyle w:val="Ninguno"/>
          <w:color w:val="auto"/>
          <w:u w:color="008080"/>
        </w:rPr>
      </w:pPr>
    </w:p>
    <w:p w:rsidR="00517411" w:rsidRPr="002B5688" w:rsidRDefault="00517411" w:rsidP="00517411">
      <w:pPr>
        <w:pStyle w:val="Cuerpo"/>
        <w:jc w:val="both"/>
        <w:rPr>
          <w:rStyle w:val="Ninguno"/>
          <w:b/>
          <w:color w:val="auto"/>
          <w:u w:color="008080"/>
        </w:rPr>
      </w:pPr>
      <w:r w:rsidRPr="002B5688">
        <w:rPr>
          <w:rStyle w:val="Ninguno"/>
          <w:b/>
          <w:color w:val="auto"/>
          <w:u w:color="008080"/>
        </w:rPr>
        <w:t xml:space="preserve">Dese FEFE se considera un error someter a una población cada vez más envejecida a la atención ambulatoria en hospitales, una cuestión que debería resolverse en su entorno de vida tanto por la atención de medicina familiar y especializada, así como por las farmacias de proximidad. </w:t>
      </w:r>
    </w:p>
    <w:p w:rsidR="00517411" w:rsidRPr="00996DE8" w:rsidRDefault="00517411" w:rsidP="00517411">
      <w:pPr>
        <w:pStyle w:val="Cuerpo"/>
        <w:jc w:val="both"/>
        <w:rPr>
          <w:rStyle w:val="Ninguno"/>
          <w:b/>
          <w:color w:val="31849B" w:themeColor="accent5" w:themeShade="BF"/>
          <w:u w:color="008080"/>
        </w:rPr>
      </w:pPr>
      <w:r w:rsidRPr="00996DE8">
        <w:rPr>
          <w:rStyle w:val="Ninguno"/>
          <w:b/>
          <w:color w:val="31849B" w:themeColor="accent5" w:themeShade="BF"/>
          <w:u w:color="008080"/>
        </w:rPr>
        <w:t>EL MERCADO EN LAS FARMACIAS</w:t>
      </w:r>
    </w:p>
    <w:p w:rsidR="00517411" w:rsidRDefault="00517411" w:rsidP="00517411">
      <w:pPr>
        <w:pStyle w:val="Cuerpo"/>
        <w:jc w:val="both"/>
        <w:rPr>
          <w:rStyle w:val="Ninguno"/>
          <w:color w:val="auto"/>
          <w:u w:color="008080"/>
        </w:rPr>
      </w:pPr>
    </w:p>
    <w:p w:rsidR="00517411" w:rsidRPr="002B5688" w:rsidRDefault="00517411" w:rsidP="00517411">
      <w:pPr>
        <w:pStyle w:val="Cuerpo"/>
        <w:jc w:val="both"/>
        <w:rPr>
          <w:rStyle w:val="Ninguno"/>
          <w:b/>
          <w:color w:val="auto"/>
          <w:u w:color="008080"/>
        </w:rPr>
      </w:pPr>
      <w:r>
        <w:rPr>
          <w:rStyle w:val="Ninguno"/>
          <w:color w:val="auto"/>
          <w:u w:color="008080"/>
        </w:rPr>
        <w:t>En 2016 el mercado en las farmacias ha experimentado un leve repunte tanto en recetas como en importes</w:t>
      </w:r>
      <w:r w:rsidR="002B5688">
        <w:rPr>
          <w:rStyle w:val="Ninguno"/>
          <w:color w:val="auto"/>
          <w:u w:color="008080"/>
        </w:rPr>
        <w:t>.</w:t>
      </w:r>
      <w:r>
        <w:rPr>
          <w:rStyle w:val="Ninguno"/>
          <w:color w:val="auto"/>
          <w:u w:color="008080"/>
        </w:rPr>
        <w:t xml:space="preserve"> Los nuevos precios de referencia han tenido un impacto muy modesto en la contención del mercado y los medicamentos genéricos presentan un crecimiento nulo tal como veremos más adelante. </w:t>
      </w:r>
      <w:r w:rsidRPr="002B5688">
        <w:rPr>
          <w:rStyle w:val="Ninguno"/>
          <w:b/>
          <w:color w:val="auto"/>
          <w:u w:color="008080"/>
        </w:rPr>
        <w:t>El único factor de crecimiento que se viene produciendo en el mercado de las farmacias viene de mano de los productos de cuidado personal y, también en menor medida de los medicamentos no financiados.</w:t>
      </w:r>
    </w:p>
    <w:p w:rsidR="00517411" w:rsidRDefault="00517411" w:rsidP="00517411">
      <w:pPr>
        <w:pStyle w:val="Cuerpo"/>
        <w:jc w:val="both"/>
        <w:rPr>
          <w:rStyle w:val="Ninguno"/>
          <w:color w:val="auto"/>
          <w:u w:color="008080"/>
        </w:rPr>
      </w:pPr>
    </w:p>
    <w:p w:rsidR="00517411" w:rsidRPr="00996DE8" w:rsidRDefault="00517411" w:rsidP="00517411">
      <w:pPr>
        <w:pStyle w:val="Cuerpo"/>
        <w:jc w:val="both"/>
        <w:rPr>
          <w:rStyle w:val="Ninguno"/>
          <w:b/>
          <w:color w:val="31849B" w:themeColor="accent5" w:themeShade="BF"/>
          <w:u w:color="008080"/>
        </w:rPr>
      </w:pPr>
      <w:r w:rsidRPr="00996DE8">
        <w:rPr>
          <w:rStyle w:val="Ninguno"/>
          <w:b/>
          <w:color w:val="31849B" w:themeColor="accent5" w:themeShade="BF"/>
          <w:u w:color="008080"/>
        </w:rPr>
        <w:t>MERCADO DE MARCAS Y GENÉRICOS EN LAS FARMACIAS</w:t>
      </w:r>
    </w:p>
    <w:p w:rsidR="00517411" w:rsidRDefault="00517411" w:rsidP="00517411">
      <w:pPr>
        <w:pStyle w:val="Cuerpo"/>
        <w:jc w:val="both"/>
        <w:rPr>
          <w:rStyle w:val="Ninguno"/>
          <w:color w:val="auto"/>
          <w:u w:color="008080"/>
        </w:rPr>
      </w:pPr>
    </w:p>
    <w:p w:rsidR="002B5688" w:rsidRDefault="00517411" w:rsidP="002B5688">
      <w:pPr>
        <w:pStyle w:val="Cuerpo"/>
        <w:jc w:val="both"/>
        <w:rPr>
          <w:rStyle w:val="Ninguno"/>
          <w:color w:val="auto"/>
          <w:u w:color="008080"/>
        </w:rPr>
      </w:pPr>
      <w:r w:rsidRPr="008C771B">
        <w:rPr>
          <w:bCs/>
          <w:color w:val="auto"/>
          <w:u w:color="008080"/>
        </w:rPr>
        <w:t>Hasta 2014  las marcas venían evolucionando negativamente y los genéricos positivamente. Se observa un cambio en esta tendencia en el año 2015 que se mantienen en 2016</w:t>
      </w:r>
      <w:r>
        <w:rPr>
          <w:bCs/>
          <w:color w:val="auto"/>
          <w:u w:color="008080"/>
        </w:rPr>
        <w:t xml:space="preserve">. </w:t>
      </w:r>
      <w:r w:rsidRPr="008C771B">
        <w:rPr>
          <w:bCs/>
          <w:color w:val="auto"/>
          <w:u w:color="008080"/>
        </w:rPr>
        <w:t>El mercado no protegido supone 2/3 del total mercado farmacéutico en el acumulado de los últimos 12 meses.</w:t>
      </w:r>
      <w:r>
        <w:rPr>
          <w:bCs/>
          <w:color w:val="auto"/>
          <w:u w:color="008080"/>
        </w:rPr>
        <w:t xml:space="preserve"> </w:t>
      </w:r>
      <w:r w:rsidRPr="008C771B">
        <w:rPr>
          <w:bCs/>
          <w:color w:val="auto"/>
          <w:u w:color="008080"/>
        </w:rPr>
        <w:t>Dentro del mercado no protegido las marcas suponen el 68,7% del mercado en este mismo periodo</w:t>
      </w:r>
      <w:r w:rsidR="008064B1">
        <w:rPr>
          <w:bCs/>
          <w:color w:val="auto"/>
          <w:u w:color="008080"/>
        </w:rPr>
        <w:t>.</w:t>
      </w:r>
      <w:r w:rsidRPr="008C771B">
        <w:rPr>
          <w:rStyle w:val="Ninguno"/>
          <w:color w:val="auto"/>
          <w:u w:color="008080"/>
        </w:rPr>
        <w:t xml:space="preserve"> </w:t>
      </w:r>
    </w:p>
    <w:p w:rsidR="008064B1" w:rsidRDefault="008064B1" w:rsidP="002B5688">
      <w:pPr>
        <w:pStyle w:val="Cuerpo"/>
        <w:jc w:val="both"/>
        <w:rPr>
          <w:bCs/>
          <w:u w:color="008080"/>
        </w:rPr>
      </w:pPr>
    </w:p>
    <w:p w:rsidR="002B5688" w:rsidRDefault="002B5688" w:rsidP="002B5688">
      <w:pPr>
        <w:pStyle w:val="Cuerpo"/>
        <w:jc w:val="both"/>
        <w:rPr>
          <w:bCs/>
          <w:u w:color="008080"/>
        </w:rPr>
      </w:pPr>
      <w:r w:rsidRPr="0075610B">
        <w:rPr>
          <w:bCs/>
          <w:u w:color="008080"/>
        </w:rPr>
        <w:t>Que</w:t>
      </w:r>
      <w:r>
        <w:rPr>
          <w:bCs/>
          <w:u w:color="008080"/>
        </w:rPr>
        <w:t xml:space="preserve"> los</w:t>
      </w:r>
      <w:r w:rsidRPr="0075610B">
        <w:rPr>
          <w:bCs/>
          <w:u w:color="008080"/>
        </w:rPr>
        <w:t xml:space="preserve"> genéricos y marcas con el mismo p</w:t>
      </w:r>
      <w:r>
        <w:rPr>
          <w:bCs/>
          <w:u w:color="008080"/>
        </w:rPr>
        <w:t xml:space="preserve">rincipio </w:t>
      </w:r>
      <w:r w:rsidRPr="0075610B">
        <w:rPr>
          <w:bCs/>
          <w:u w:color="008080"/>
        </w:rPr>
        <w:t>a</w:t>
      </w:r>
      <w:r>
        <w:rPr>
          <w:bCs/>
          <w:u w:color="008080"/>
        </w:rPr>
        <w:t>ctivo</w:t>
      </w:r>
      <w:r w:rsidRPr="0075610B">
        <w:rPr>
          <w:bCs/>
          <w:u w:color="008080"/>
        </w:rPr>
        <w:t xml:space="preserve"> tengan el mismo precio confiere una gran desventaja competitiva a los genéricos.</w:t>
      </w:r>
      <w:r>
        <w:rPr>
          <w:bCs/>
          <w:u w:color="008080"/>
        </w:rPr>
        <w:t xml:space="preserve"> Así la penetración de los genéricos se mantiene estable en un 40% de las unidades y un 20% en valores. El resultado final es que se afianzan las marcas, no solo en los medicamentos bajo patente, sino particularmente en lo que compiten con los genéricos. .</w:t>
      </w:r>
    </w:p>
    <w:p w:rsidR="005777EA" w:rsidRDefault="005777EA" w:rsidP="002B5688">
      <w:pPr>
        <w:rPr>
          <w:noProof/>
        </w:rPr>
      </w:pPr>
    </w:p>
    <w:p w:rsidR="00517411" w:rsidRPr="00996DE8" w:rsidRDefault="00517411" w:rsidP="00517411">
      <w:pPr>
        <w:pStyle w:val="Cuerpo"/>
        <w:jc w:val="both"/>
        <w:rPr>
          <w:b/>
          <w:bCs/>
          <w:color w:val="31849B" w:themeColor="accent5" w:themeShade="BF"/>
          <w:u w:color="008080"/>
        </w:rPr>
      </w:pPr>
      <w:r w:rsidRPr="00996DE8">
        <w:rPr>
          <w:b/>
          <w:bCs/>
          <w:color w:val="31849B" w:themeColor="accent5" w:themeShade="BF"/>
          <w:u w:color="008080"/>
        </w:rPr>
        <w:t>CONCLUSIONES SOBRE EL MERCADO FINANCIADO EN FARMACIAS</w:t>
      </w:r>
    </w:p>
    <w:p w:rsidR="00517411" w:rsidRDefault="00517411" w:rsidP="00517411">
      <w:pPr>
        <w:pStyle w:val="Cuerpo"/>
        <w:jc w:val="both"/>
        <w:rPr>
          <w:bCs/>
          <w:u w:color="008080"/>
        </w:rPr>
      </w:pPr>
    </w:p>
    <w:p w:rsidR="00517411" w:rsidRPr="00277D00" w:rsidRDefault="00517411" w:rsidP="00517411">
      <w:pPr>
        <w:pStyle w:val="Cuerpo"/>
        <w:jc w:val="both"/>
        <w:rPr>
          <w:bCs/>
          <w:u w:color="008080"/>
        </w:rPr>
      </w:pPr>
      <w:r w:rsidRPr="00277D00">
        <w:rPr>
          <w:bCs/>
          <w:u w:color="008080"/>
        </w:rPr>
        <w:t>Las principales conclusiones sobre este mercado son: que e</w:t>
      </w:r>
      <w:r w:rsidRPr="00277D00">
        <w:rPr>
          <w:bCs/>
          <w:u w:color="008080"/>
          <w:lang w:val="es-ES_tradnl"/>
        </w:rPr>
        <w:t>l Gasto Farmacéutico a cargo del SNS en valores</w:t>
      </w:r>
      <w:r>
        <w:rPr>
          <w:bCs/>
          <w:u w:color="008080"/>
          <w:lang w:val="es-ES_tradnl"/>
        </w:rPr>
        <w:t xml:space="preserve"> PVP</w:t>
      </w:r>
      <w:r w:rsidRPr="00277D00">
        <w:rPr>
          <w:bCs/>
          <w:u w:color="008080"/>
          <w:lang w:val="es-ES_tradnl"/>
        </w:rPr>
        <w:t xml:space="preserve"> ha sido de 9. 912,7 Mill. € </w:t>
      </w:r>
      <w:proofErr w:type="gramStart"/>
      <w:r w:rsidRPr="00277D00">
        <w:rPr>
          <w:bCs/>
          <w:u w:color="008080"/>
          <w:lang w:val="es-ES_tradnl"/>
        </w:rPr>
        <w:t>de</w:t>
      </w:r>
      <w:proofErr w:type="gramEnd"/>
      <w:r w:rsidRPr="00277D00">
        <w:rPr>
          <w:bCs/>
          <w:u w:color="008080"/>
          <w:lang w:val="es-ES_tradnl"/>
        </w:rPr>
        <w:t xml:space="preserve"> euros, un 3,96% más que en 2015.</w:t>
      </w:r>
      <w:r w:rsidRPr="00277D00">
        <w:rPr>
          <w:bCs/>
          <w:u w:color="008080"/>
        </w:rPr>
        <w:t xml:space="preserve"> El Gasto no crece, simplemente se recupera, ya que en 2009 fue de 12.505,6 millones de euros. Es decir al consumo de 2016 le faltan todavía 2.592,9 millones para alcanzar al del 2009 – un (20,73%) m</w:t>
      </w:r>
      <w:r>
        <w:rPr>
          <w:bCs/>
          <w:u w:color="008080"/>
        </w:rPr>
        <w:t>á</w:t>
      </w:r>
      <w:r w:rsidRPr="00277D00">
        <w:rPr>
          <w:bCs/>
          <w:u w:color="008080"/>
        </w:rPr>
        <w:t>s – al ritmo de crecimiento anual del 2016, el mercado de 2009 se recuperaría en el año 2023, dentro de siete años. El consumo de genéricos se encuentra estabilizado en el 40% de las unidades y el 20% en valores a PVL., respecto al mercado total de medicamentos en O</w:t>
      </w:r>
      <w:r>
        <w:rPr>
          <w:bCs/>
          <w:u w:color="008080"/>
        </w:rPr>
        <w:t xml:space="preserve">ficina de </w:t>
      </w:r>
      <w:r w:rsidRPr="00277D00">
        <w:rPr>
          <w:bCs/>
          <w:u w:color="008080"/>
        </w:rPr>
        <w:t>F</w:t>
      </w:r>
      <w:r>
        <w:rPr>
          <w:bCs/>
          <w:u w:color="008080"/>
        </w:rPr>
        <w:t>armacia, y</w:t>
      </w:r>
      <w:r w:rsidRPr="00277D00">
        <w:rPr>
          <w:bCs/>
          <w:u w:color="008080"/>
          <w:lang w:val="es-ES_tradnl"/>
        </w:rPr>
        <w:t xml:space="preserve"> su penetración no es uniforme.</w:t>
      </w:r>
    </w:p>
    <w:p w:rsidR="00517411" w:rsidRPr="00277D00" w:rsidRDefault="00517411" w:rsidP="00517411">
      <w:pPr>
        <w:pStyle w:val="Cuerpo"/>
        <w:jc w:val="both"/>
        <w:rPr>
          <w:bCs/>
          <w:u w:color="008080"/>
        </w:rPr>
      </w:pPr>
    </w:p>
    <w:p w:rsidR="00517411" w:rsidRPr="00996DE8" w:rsidRDefault="00517411" w:rsidP="00517411">
      <w:pPr>
        <w:pStyle w:val="Cuerpo"/>
        <w:jc w:val="both"/>
        <w:rPr>
          <w:b/>
          <w:color w:val="31849B" w:themeColor="accent5" w:themeShade="BF"/>
          <w:u w:color="008080"/>
        </w:rPr>
      </w:pPr>
      <w:r w:rsidRPr="00996DE8">
        <w:rPr>
          <w:b/>
          <w:color w:val="31849B" w:themeColor="accent5" w:themeShade="BF"/>
          <w:u w:color="008080"/>
        </w:rPr>
        <w:t>MERCADO PRIVADO Y DE AUTOCUIDADO EN LAS FARMACIAS</w:t>
      </w:r>
    </w:p>
    <w:p w:rsidR="00517411" w:rsidRPr="0075610B" w:rsidRDefault="00517411" w:rsidP="00517411">
      <w:pPr>
        <w:pStyle w:val="Cuerpo"/>
        <w:jc w:val="both"/>
        <w:rPr>
          <w:rStyle w:val="Ninguno"/>
          <w:color w:val="auto"/>
          <w:u w:color="008080"/>
        </w:rPr>
      </w:pPr>
    </w:p>
    <w:p w:rsidR="00517411" w:rsidRDefault="00517411" w:rsidP="00517411">
      <w:pPr>
        <w:jc w:val="both"/>
        <w:rPr>
          <w:bCs/>
        </w:rPr>
      </w:pPr>
      <w:r w:rsidRPr="00277D00">
        <w:rPr>
          <w:bCs/>
        </w:rPr>
        <w:t>Representa el 27,38% en valores y 44,8% en unidades respecto al rembolsado en 2016</w:t>
      </w:r>
      <w:r>
        <w:rPr>
          <w:bCs/>
        </w:rPr>
        <w:t xml:space="preserve"> y se engloba en lo que habitualmente se denomina OTC y CH </w:t>
      </w:r>
      <w:r w:rsidR="005777EA">
        <w:rPr>
          <w:bCs/>
        </w:rPr>
        <w:t>(Consumer</w:t>
      </w:r>
      <w:r>
        <w:rPr>
          <w:bCs/>
        </w:rPr>
        <w:t xml:space="preserve"> Healt</w:t>
      </w:r>
      <w:r w:rsidR="005777EA">
        <w:rPr>
          <w:bCs/>
        </w:rPr>
        <w:t>h) y su evolución aparece en el Gráfico</w:t>
      </w:r>
      <w:r>
        <w:rPr>
          <w:bCs/>
        </w:rPr>
        <w:t xml:space="preserve"> </w:t>
      </w:r>
      <w:r w:rsidR="005777EA">
        <w:rPr>
          <w:bCs/>
        </w:rPr>
        <w:t>I</w:t>
      </w:r>
      <w:r w:rsidR="008064B1">
        <w:rPr>
          <w:bCs/>
        </w:rPr>
        <w:t>II</w:t>
      </w:r>
      <w:r>
        <w:rPr>
          <w:bCs/>
        </w:rPr>
        <w:t xml:space="preserve">. </w:t>
      </w:r>
    </w:p>
    <w:p w:rsidR="008064B1" w:rsidRDefault="008064B1" w:rsidP="00517411">
      <w:pPr>
        <w:jc w:val="both"/>
        <w:rPr>
          <w:bCs/>
        </w:rPr>
      </w:pPr>
    </w:p>
    <w:p w:rsidR="008064B1" w:rsidRDefault="008064B1" w:rsidP="00517411">
      <w:pPr>
        <w:jc w:val="both"/>
        <w:rPr>
          <w:bCs/>
        </w:rPr>
      </w:pPr>
      <w:r>
        <w:rPr>
          <w:bCs/>
        </w:rPr>
        <w:t xml:space="preserve">El mercado de OTC se divide en tres categorías </w:t>
      </w:r>
      <w:r w:rsidRPr="009F2B44">
        <w:rPr>
          <w:bCs/>
        </w:rPr>
        <w:t>dependiendo del tipo de registros y de su situación de reembolso:</w:t>
      </w:r>
      <w:r>
        <w:rPr>
          <w:bCs/>
        </w:rPr>
        <w:t xml:space="preserve"> </w:t>
      </w:r>
      <w:r w:rsidRPr="009F2B44">
        <w:rPr>
          <w:bCs/>
        </w:rPr>
        <w:t>Semi-Éticos: Medicamentos que pueden dispensarse tanto con receta como sin receta (1,7% de CH).</w:t>
      </w:r>
      <w:r>
        <w:rPr>
          <w:bCs/>
        </w:rPr>
        <w:t xml:space="preserve"> </w:t>
      </w:r>
      <w:r w:rsidRPr="009F2B44">
        <w:rPr>
          <w:bCs/>
        </w:rPr>
        <w:t>Consumo: Productos sin registro de medicamento como complementos alimenticios (18,9%).</w:t>
      </w:r>
      <w:r>
        <w:rPr>
          <w:bCs/>
        </w:rPr>
        <w:t xml:space="preserve"> </w:t>
      </w:r>
      <w:r w:rsidRPr="009F2B44">
        <w:rPr>
          <w:bCs/>
        </w:rPr>
        <w:t>Medicamentos publicitarios: que se dispensan sin prescripción y no están reembolsados (18,3%).</w:t>
      </w:r>
    </w:p>
    <w:p w:rsidR="005777EA" w:rsidRDefault="005777EA" w:rsidP="00517411">
      <w:pPr>
        <w:jc w:val="both"/>
        <w:rPr>
          <w:bCs/>
        </w:rPr>
      </w:pPr>
    </w:p>
    <w:p w:rsidR="005777EA" w:rsidRPr="00F14A13" w:rsidRDefault="005777EA" w:rsidP="008064B1">
      <w:pPr>
        <w:ind w:left="708" w:firstLine="708"/>
        <w:rPr>
          <w:b/>
          <w:noProof/>
        </w:rPr>
      </w:pPr>
      <w:r w:rsidRPr="00F14A13">
        <w:rPr>
          <w:b/>
          <w:noProof/>
        </w:rPr>
        <w:t xml:space="preserve">Grafico </w:t>
      </w:r>
      <w:r>
        <w:rPr>
          <w:b/>
          <w:noProof/>
        </w:rPr>
        <w:t>I</w:t>
      </w:r>
      <w:r w:rsidR="008064B1">
        <w:rPr>
          <w:b/>
          <w:noProof/>
        </w:rPr>
        <w:t>II</w:t>
      </w:r>
    </w:p>
    <w:p w:rsidR="005777EA" w:rsidRDefault="005777EA" w:rsidP="005777EA">
      <w:pPr>
        <w:jc w:val="center"/>
        <w:rPr>
          <w:noProof/>
        </w:rPr>
      </w:pPr>
      <w:r>
        <w:rPr>
          <w:noProof/>
        </w:rPr>
        <w:drawing>
          <wp:inline distT="0" distB="0" distL="0" distR="0" wp14:anchorId="3A1193FD" wp14:editId="4F672EDF">
            <wp:extent cx="4286250" cy="234315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77EA" w:rsidRPr="002C3F5C" w:rsidRDefault="005777EA" w:rsidP="002C3F5C">
      <w:pPr>
        <w:ind w:firstLine="708"/>
        <w:rPr>
          <w:noProof/>
          <w:sz w:val="22"/>
        </w:rPr>
      </w:pPr>
      <w:r w:rsidRPr="002C3F5C">
        <w:rPr>
          <w:noProof/>
          <w:sz w:val="22"/>
        </w:rPr>
        <w:t>Fuente: Obsevatorio del Medicamento FEFE con datos de Quintiles IMS</w:t>
      </w:r>
    </w:p>
    <w:p w:rsidR="00517411" w:rsidRPr="002C3F5C" w:rsidRDefault="00517411" w:rsidP="00517411">
      <w:pPr>
        <w:jc w:val="both"/>
        <w:rPr>
          <w:bCs/>
          <w:sz w:val="22"/>
        </w:rPr>
      </w:pPr>
    </w:p>
    <w:p w:rsidR="00517411" w:rsidRDefault="00517411" w:rsidP="00517411">
      <w:pPr>
        <w:jc w:val="both"/>
        <w:rPr>
          <w:bCs/>
        </w:rPr>
      </w:pPr>
      <w:r w:rsidRPr="009F2B44">
        <w:rPr>
          <w:bCs/>
        </w:rPr>
        <w:t>La mayoría de los productos de CH (complementos alimenticios, higiene oral, accesorios sanitarios, nutrición infantil, productos adelgazantes) se pueden vender en otros canales tales como el supermercado, tienen precio libre y se pueden anunciar en cualquier tipo de soporte</w:t>
      </w:r>
      <w:r>
        <w:rPr>
          <w:bCs/>
        </w:rPr>
        <w:t>, aun así las farmacias mantienen una alta cuota de mercado de estos productos</w:t>
      </w:r>
      <w:r w:rsidRPr="009F2B44">
        <w:rPr>
          <w:bCs/>
        </w:rPr>
        <w:t>.</w:t>
      </w:r>
    </w:p>
    <w:p w:rsidR="00517411" w:rsidRPr="00455B26" w:rsidRDefault="00517411" w:rsidP="00517411">
      <w:pPr>
        <w:tabs>
          <w:tab w:val="num" w:pos="720"/>
        </w:tabs>
        <w:jc w:val="both"/>
        <w:rPr>
          <w:bCs/>
        </w:rPr>
      </w:pPr>
    </w:p>
    <w:p w:rsidR="00517411" w:rsidRPr="00996DE8" w:rsidRDefault="00517411" w:rsidP="00517411">
      <w:pPr>
        <w:tabs>
          <w:tab w:val="num" w:pos="720"/>
        </w:tabs>
        <w:jc w:val="both"/>
        <w:rPr>
          <w:b/>
          <w:bCs/>
          <w:color w:val="31849B" w:themeColor="accent5" w:themeShade="BF"/>
        </w:rPr>
      </w:pPr>
      <w:r w:rsidRPr="00996DE8">
        <w:rPr>
          <w:b/>
          <w:bCs/>
          <w:color w:val="31849B" w:themeColor="accent5" w:themeShade="BF"/>
        </w:rPr>
        <w:t>CONCLUSIONES GENERALES</w:t>
      </w:r>
    </w:p>
    <w:p w:rsidR="00517411" w:rsidRPr="00CC0BA1" w:rsidRDefault="00517411" w:rsidP="00517411">
      <w:pPr>
        <w:tabs>
          <w:tab w:val="num" w:pos="720"/>
        </w:tabs>
        <w:jc w:val="both"/>
        <w:rPr>
          <w:bCs/>
        </w:rPr>
      </w:pPr>
    </w:p>
    <w:p w:rsidR="00517411" w:rsidRPr="00996DE8" w:rsidRDefault="00517411" w:rsidP="00517411">
      <w:pPr>
        <w:jc w:val="both"/>
        <w:rPr>
          <w:b/>
          <w:bCs/>
          <w:lang w:val="es-ES_tradnl"/>
        </w:rPr>
      </w:pPr>
      <w:r w:rsidRPr="00996DE8">
        <w:rPr>
          <w:b/>
          <w:bCs/>
          <w:lang w:val="es-ES_tradnl"/>
        </w:rPr>
        <w:t>El mercado global (financiado + no financiado) en farmacias y hospitales ha descendido desde el año 2010 por efecto de la crisis económica y las medidas del Gobierno.  Se recupera a partir de 2014.</w:t>
      </w:r>
    </w:p>
    <w:p w:rsidR="00517411" w:rsidRPr="008064B1" w:rsidRDefault="00517411" w:rsidP="00517411">
      <w:pPr>
        <w:jc w:val="both"/>
        <w:rPr>
          <w:bCs/>
          <w:sz w:val="20"/>
        </w:rPr>
      </w:pPr>
    </w:p>
    <w:p w:rsidR="00517411" w:rsidRPr="008064B1" w:rsidRDefault="00517411" w:rsidP="00517411">
      <w:pPr>
        <w:jc w:val="both"/>
        <w:rPr>
          <w:b/>
          <w:bCs/>
          <w:lang w:val="es-ES_tradnl"/>
        </w:rPr>
      </w:pPr>
      <w:r w:rsidRPr="008064B1">
        <w:rPr>
          <w:b/>
          <w:bCs/>
          <w:lang w:val="es-ES_tradnl"/>
        </w:rPr>
        <w:t>El descenso es más pronunciado en el mercado financiado de farmacias que solo aumenta a partir de 2014 y en 2016 mantiene crecimientos tanto en unidades (2,2%) como en valores (3,9%).</w:t>
      </w:r>
    </w:p>
    <w:p w:rsidR="00517411" w:rsidRPr="008064B1" w:rsidRDefault="00517411" w:rsidP="00517411">
      <w:pPr>
        <w:jc w:val="both"/>
        <w:rPr>
          <w:bCs/>
          <w:sz w:val="20"/>
        </w:rPr>
      </w:pPr>
    </w:p>
    <w:p w:rsidR="00517411" w:rsidRPr="00996DE8" w:rsidRDefault="00517411" w:rsidP="00517411">
      <w:pPr>
        <w:jc w:val="both"/>
        <w:rPr>
          <w:b/>
          <w:bCs/>
          <w:lang w:val="es-ES_tradnl"/>
        </w:rPr>
      </w:pPr>
      <w:r w:rsidRPr="00996DE8">
        <w:rPr>
          <w:b/>
          <w:bCs/>
          <w:lang w:val="es-ES_tradnl"/>
        </w:rPr>
        <w:t>Los genéricos suponen un alto porcentaje de las dispensaciones pero su cu</w:t>
      </w:r>
      <w:r w:rsidR="008064B1" w:rsidRPr="00996DE8">
        <w:rPr>
          <w:b/>
          <w:bCs/>
          <w:lang w:val="es-ES_tradnl"/>
        </w:rPr>
        <w:t>ota de mercado está estabilizada</w:t>
      </w:r>
      <w:r w:rsidRPr="00996DE8">
        <w:rPr>
          <w:b/>
          <w:bCs/>
          <w:lang w:val="es-ES_tradnl"/>
        </w:rPr>
        <w:t xml:space="preserve"> en un 20%.</w:t>
      </w:r>
    </w:p>
    <w:p w:rsidR="00517411" w:rsidRPr="008064B1" w:rsidRDefault="00517411" w:rsidP="00517411">
      <w:pPr>
        <w:jc w:val="both"/>
        <w:rPr>
          <w:bCs/>
          <w:sz w:val="20"/>
        </w:rPr>
      </w:pPr>
    </w:p>
    <w:p w:rsidR="00517411" w:rsidRPr="00996DE8" w:rsidRDefault="00517411" w:rsidP="00517411">
      <w:pPr>
        <w:jc w:val="both"/>
        <w:rPr>
          <w:b/>
          <w:bCs/>
          <w:lang w:val="es-ES_tradnl"/>
        </w:rPr>
      </w:pPr>
      <w:r w:rsidRPr="00996DE8">
        <w:rPr>
          <w:b/>
          <w:bCs/>
          <w:lang w:val="es-ES_tradnl"/>
        </w:rPr>
        <w:t>El mercado hospitalario es el que dirige el crecimiento del mercado farmacéutico actual y mantiene una tendencia al crecimiento en los próximos años.</w:t>
      </w:r>
    </w:p>
    <w:p w:rsidR="00517411" w:rsidRPr="008064B1" w:rsidRDefault="00517411" w:rsidP="00517411">
      <w:pPr>
        <w:jc w:val="both"/>
        <w:rPr>
          <w:bCs/>
          <w:sz w:val="20"/>
        </w:rPr>
      </w:pPr>
    </w:p>
    <w:p w:rsidR="00517411" w:rsidRPr="008064B1" w:rsidRDefault="00517411" w:rsidP="00517411">
      <w:pPr>
        <w:jc w:val="both"/>
        <w:rPr>
          <w:b/>
          <w:bCs/>
          <w:lang w:val="es-ES_tradnl"/>
        </w:rPr>
      </w:pPr>
      <w:r w:rsidRPr="008064B1">
        <w:rPr>
          <w:b/>
          <w:bCs/>
          <w:lang w:val="es-ES_tradnl"/>
        </w:rPr>
        <w:t>La recuperación mercado CH no financiado en farmacias se hace patente a partir de 2014 y en 2016 mantiene crecimientos tanto en unidades (2,4%) como en valores (5,4%).</w:t>
      </w:r>
    </w:p>
    <w:p w:rsidR="00517411" w:rsidRPr="00455B26" w:rsidRDefault="00517411" w:rsidP="00517411">
      <w:pPr>
        <w:jc w:val="both"/>
        <w:rPr>
          <w:bCs/>
        </w:rPr>
      </w:pPr>
    </w:p>
    <w:p w:rsidR="00517411" w:rsidRPr="008064B1" w:rsidRDefault="00517411" w:rsidP="00517411">
      <w:pPr>
        <w:jc w:val="both"/>
        <w:rPr>
          <w:b/>
          <w:bCs/>
        </w:rPr>
      </w:pPr>
      <w:r w:rsidRPr="008064B1">
        <w:rPr>
          <w:b/>
          <w:bCs/>
          <w:lang w:val="es-ES_tradnl"/>
        </w:rPr>
        <w:t>La evolución de todo el mercado tiende a la estabilización en los próximos años, aunque no se esperan crecimientos netos hasta dentro de tres o cuatro años.</w:t>
      </w:r>
    </w:p>
    <w:p w:rsidR="00996DE8" w:rsidRDefault="00996DE8" w:rsidP="00CA6CA4">
      <w:pPr>
        <w:jc w:val="both"/>
        <w:rPr>
          <w:rFonts w:ascii="Arial Black" w:hAnsi="Arial Black"/>
          <w:color w:val="008080"/>
          <w:sz w:val="28"/>
          <w:szCs w:val="28"/>
        </w:rPr>
      </w:pPr>
    </w:p>
    <w:p w:rsidR="006908B0" w:rsidRDefault="008064B1" w:rsidP="00CA6CA4">
      <w:pPr>
        <w:jc w:val="both"/>
        <w:rPr>
          <w:rFonts w:ascii="Arial Black" w:hAnsi="Arial Black"/>
          <w:color w:val="008080"/>
          <w:sz w:val="28"/>
          <w:szCs w:val="28"/>
        </w:rPr>
      </w:pPr>
      <w:r>
        <w:rPr>
          <w:rFonts w:ascii="Arial Black" w:hAnsi="Arial Black"/>
          <w:color w:val="008080"/>
          <w:sz w:val="28"/>
          <w:szCs w:val="28"/>
        </w:rPr>
        <w:t>P</w:t>
      </w:r>
      <w:r w:rsidR="00512F5D">
        <w:rPr>
          <w:rFonts w:ascii="Arial Black" w:hAnsi="Arial Black"/>
          <w:color w:val="008080"/>
          <w:sz w:val="28"/>
          <w:szCs w:val="28"/>
        </w:rPr>
        <w:t>ronó</w:t>
      </w:r>
      <w:r w:rsidR="00E03B22">
        <w:rPr>
          <w:rFonts w:ascii="Arial Black" w:hAnsi="Arial Black"/>
          <w:color w:val="008080"/>
          <w:sz w:val="28"/>
          <w:szCs w:val="28"/>
        </w:rPr>
        <w:t>stico</w:t>
      </w:r>
      <w:r w:rsidR="006908B0">
        <w:rPr>
          <w:rFonts w:ascii="Arial Black" w:hAnsi="Arial Black"/>
          <w:color w:val="008080"/>
          <w:sz w:val="28"/>
          <w:szCs w:val="28"/>
        </w:rPr>
        <w:t xml:space="preserve">: </w:t>
      </w:r>
    </w:p>
    <w:p w:rsidR="006908B0" w:rsidRPr="008C1CD4" w:rsidRDefault="006908B0" w:rsidP="006E6341">
      <w:pPr>
        <w:jc w:val="both"/>
        <w:rPr>
          <w:color w:val="008080"/>
          <w:sz w:val="18"/>
          <w:szCs w:val="28"/>
        </w:rPr>
      </w:pPr>
    </w:p>
    <w:p w:rsidR="005D1372" w:rsidRPr="00C566AB" w:rsidRDefault="006908B0" w:rsidP="00661B46">
      <w:pPr>
        <w:jc w:val="both"/>
        <w:rPr>
          <w:b/>
          <w:szCs w:val="22"/>
        </w:rPr>
      </w:pPr>
      <w:r w:rsidRPr="00C566AB">
        <w:rPr>
          <w:szCs w:val="22"/>
        </w:rPr>
        <w:t xml:space="preserve">Los datos de consumo de medicamentos en el mes de </w:t>
      </w:r>
      <w:r w:rsidR="00EB6A22">
        <w:rPr>
          <w:szCs w:val="22"/>
        </w:rPr>
        <w:t>Junio</w:t>
      </w:r>
      <w:r w:rsidRPr="00C566AB">
        <w:rPr>
          <w:szCs w:val="22"/>
        </w:rPr>
        <w:t xml:space="preserve"> de </w:t>
      </w:r>
      <w:r w:rsidR="004F7158">
        <w:rPr>
          <w:szCs w:val="22"/>
        </w:rPr>
        <w:t>2017</w:t>
      </w:r>
      <w:r w:rsidR="00E46CD0" w:rsidRPr="00C566AB">
        <w:rPr>
          <w:szCs w:val="22"/>
        </w:rPr>
        <w:t xml:space="preserve">, </w:t>
      </w:r>
      <w:r w:rsidRPr="00C566AB">
        <w:rPr>
          <w:szCs w:val="22"/>
        </w:rPr>
        <w:t>ponen de manifiesto que</w:t>
      </w:r>
      <w:r w:rsidR="00253A56">
        <w:rPr>
          <w:szCs w:val="22"/>
        </w:rPr>
        <w:t xml:space="preserve"> el mercado</w:t>
      </w:r>
      <w:r w:rsidR="008E2B08">
        <w:rPr>
          <w:szCs w:val="22"/>
        </w:rPr>
        <w:t xml:space="preserve"> continúa su recuperación</w:t>
      </w:r>
      <w:r w:rsidR="003506C6">
        <w:rPr>
          <w:szCs w:val="22"/>
        </w:rPr>
        <w:t xml:space="preserve">, </w:t>
      </w:r>
      <w:r w:rsidR="00253A56">
        <w:rPr>
          <w:szCs w:val="22"/>
        </w:rPr>
        <w:t>tanto en el mercado financiado como en el privado</w:t>
      </w:r>
      <w:r w:rsidR="00D4548C" w:rsidRPr="00C566AB">
        <w:rPr>
          <w:szCs w:val="22"/>
        </w:rPr>
        <w:t>.</w:t>
      </w:r>
      <w:r w:rsidR="00520FDA" w:rsidRPr="00C566AB">
        <w:rPr>
          <w:szCs w:val="22"/>
        </w:rPr>
        <w:t xml:space="preserve"> </w:t>
      </w:r>
      <w:r w:rsidR="003506C6">
        <w:rPr>
          <w:szCs w:val="22"/>
        </w:rPr>
        <w:t>E</w:t>
      </w:r>
      <w:r w:rsidR="009B6F07" w:rsidRPr="00C566AB">
        <w:rPr>
          <w:szCs w:val="22"/>
        </w:rPr>
        <w:t xml:space="preserve">l </w:t>
      </w:r>
      <w:r w:rsidR="005D1372" w:rsidRPr="00C566AB">
        <w:rPr>
          <w:szCs w:val="22"/>
        </w:rPr>
        <w:t>c</w:t>
      </w:r>
      <w:r w:rsidR="00520FDA" w:rsidRPr="00C566AB">
        <w:rPr>
          <w:szCs w:val="22"/>
        </w:rPr>
        <w:t xml:space="preserve">recimiento en </w:t>
      </w:r>
      <w:r w:rsidR="00F02692" w:rsidRPr="00C566AB">
        <w:rPr>
          <w:b/>
          <w:szCs w:val="22"/>
        </w:rPr>
        <w:t>términos anuales</w:t>
      </w:r>
      <w:r w:rsidR="009B6F07" w:rsidRPr="00C566AB">
        <w:rPr>
          <w:b/>
          <w:szCs w:val="22"/>
        </w:rPr>
        <w:t xml:space="preserve">  alcanza este mes los</w:t>
      </w:r>
      <w:r w:rsidR="00253A56">
        <w:rPr>
          <w:b/>
          <w:szCs w:val="22"/>
        </w:rPr>
        <w:t xml:space="preserve"> </w:t>
      </w:r>
      <w:r w:rsidR="002C3F5C">
        <w:rPr>
          <w:b/>
          <w:szCs w:val="22"/>
        </w:rPr>
        <w:t>285</w:t>
      </w:r>
      <w:r w:rsidR="006F6E9E">
        <w:rPr>
          <w:b/>
          <w:szCs w:val="22"/>
        </w:rPr>
        <w:t xml:space="preserve"> </w:t>
      </w:r>
      <w:r w:rsidR="00520FDA" w:rsidRPr="00C566AB">
        <w:rPr>
          <w:b/>
          <w:szCs w:val="22"/>
        </w:rPr>
        <w:t>millones</w:t>
      </w:r>
      <w:r w:rsidR="00FC71DC" w:rsidRPr="00C566AB">
        <w:rPr>
          <w:b/>
          <w:szCs w:val="22"/>
        </w:rPr>
        <w:t xml:space="preserve"> de euros</w:t>
      </w:r>
      <w:r w:rsidR="005D1372" w:rsidRPr="00C566AB">
        <w:rPr>
          <w:b/>
          <w:szCs w:val="22"/>
        </w:rPr>
        <w:t>.</w:t>
      </w:r>
    </w:p>
    <w:p w:rsidR="0078278A" w:rsidRPr="00C566AB" w:rsidRDefault="005D1372" w:rsidP="00661B46">
      <w:pPr>
        <w:jc w:val="both"/>
        <w:rPr>
          <w:b/>
          <w:sz w:val="22"/>
          <w:szCs w:val="22"/>
        </w:rPr>
      </w:pPr>
      <w:r w:rsidRPr="00C566AB">
        <w:rPr>
          <w:b/>
          <w:szCs w:val="22"/>
        </w:rPr>
        <w:t xml:space="preserve"> </w:t>
      </w:r>
    </w:p>
    <w:p w:rsidR="00773ABC" w:rsidRPr="00C566AB" w:rsidRDefault="006908B0" w:rsidP="00661B46">
      <w:pPr>
        <w:jc w:val="both"/>
        <w:rPr>
          <w:b/>
          <w:sz w:val="22"/>
          <w:szCs w:val="22"/>
        </w:rPr>
      </w:pPr>
      <w:r w:rsidRPr="00C566AB">
        <w:rPr>
          <w:szCs w:val="22"/>
        </w:rPr>
        <w:t>En este Observatorio se actualiza la evolución del consumo de recetas como indicador de la demanda</w:t>
      </w:r>
      <w:r w:rsidR="00A90113" w:rsidRPr="00C566AB">
        <w:rPr>
          <w:szCs w:val="22"/>
        </w:rPr>
        <w:t>,</w:t>
      </w:r>
      <w:r w:rsidRPr="00C566AB">
        <w:rPr>
          <w:szCs w:val="22"/>
        </w:rPr>
        <w:t xml:space="preserve"> perfectamente comparable con el año anterior</w:t>
      </w:r>
      <w:r w:rsidR="00A90113" w:rsidRPr="00C566AB">
        <w:rPr>
          <w:szCs w:val="22"/>
        </w:rPr>
        <w:t>, donde</w:t>
      </w:r>
      <w:r w:rsidR="00A36981" w:rsidRPr="00C566AB">
        <w:rPr>
          <w:szCs w:val="22"/>
        </w:rPr>
        <w:t xml:space="preserve"> </w:t>
      </w:r>
      <w:r w:rsidR="00A36981" w:rsidRPr="00C566AB">
        <w:rPr>
          <w:b/>
          <w:szCs w:val="22"/>
        </w:rPr>
        <w:t xml:space="preserve">se ha producido </w:t>
      </w:r>
      <w:r w:rsidR="00F73C5C" w:rsidRPr="00C566AB">
        <w:rPr>
          <w:b/>
          <w:szCs w:val="22"/>
        </w:rPr>
        <w:t>un</w:t>
      </w:r>
      <w:r w:rsidR="005A5DBA" w:rsidRPr="00C566AB">
        <w:rPr>
          <w:b/>
          <w:szCs w:val="22"/>
        </w:rPr>
        <w:t xml:space="preserve"> </w:t>
      </w:r>
      <w:r w:rsidR="002C3F5C">
        <w:rPr>
          <w:b/>
          <w:szCs w:val="22"/>
        </w:rPr>
        <w:t xml:space="preserve">descenso respecto al mismo mes del año anterior  </w:t>
      </w:r>
      <w:r w:rsidR="00253A56">
        <w:rPr>
          <w:b/>
          <w:szCs w:val="22"/>
        </w:rPr>
        <w:t xml:space="preserve">de </w:t>
      </w:r>
      <w:r w:rsidR="002C3F5C">
        <w:rPr>
          <w:b/>
          <w:szCs w:val="22"/>
        </w:rPr>
        <w:t>338.000</w:t>
      </w:r>
      <w:r w:rsidR="00253A56">
        <w:rPr>
          <w:b/>
          <w:szCs w:val="22"/>
        </w:rPr>
        <w:t xml:space="preserve"> </w:t>
      </w:r>
      <w:r w:rsidR="003E599F">
        <w:rPr>
          <w:b/>
          <w:szCs w:val="22"/>
        </w:rPr>
        <w:t>r</w:t>
      </w:r>
      <w:r w:rsidR="003E599F" w:rsidRPr="00C566AB">
        <w:rPr>
          <w:b/>
          <w:szCs w:val="22"/>
        </w:rPr>
        <w:t>e</w:t>
      </w:r>
      <w:r w:rsidR="003E599F">
        <w:rPr>
          <w:b/>
          <w:szCs w:val="22"/>
        </w:rPr>
        <w:t>ce</w:t>
      </w:r>
      <w:r w:rsidR="003E599F" w:rsidRPr="00C566AB">
        <w:rPr>
          <w:b/>
          <w:szCs w:val="22"/>
        </w:rPr>
        <w:t xml:space="preserve">tas. </w:t>
      </w:r>
      <w:r w:rsidR="009B6F07" w:rsidRPr="00C566AB">
        <w:rPr>
          <w:szCs w:val="22"/>
        </w:rPr>
        <w:t>En este mes</w:t>
      </w:r>
      <w:r w:rsidR="00847FDC" w:rsidRPr="00C566AB">
        <w:rPr>
          <w:szCs w:val="22"/>
        </w:rPr>
        <w:t xml:space="preserve"> de </w:t>
      </w:r>
      <w:r w:rsidR="00EB6A22">
        <w:rPr>
          <w:szCs w:val="22"/>
        </w:rPr>
        <w:t>Junio</w:t>
      </w:r>
      <w:r w:rsidR="009B6F07" w:rsidRPr="00C566AB">
        <w:rPr>
          <w:szCs w:val="22"/>
        </w:rPr>
        <w:t xml:space="preserve"> </w:t>
      </w:r>
      <w:r w:rsidR="00F81FEB">
        <w:rPr>
          <w:szCs w:val="22"/>
        </w:rPr>
        <w:t xml:space="preserve">también </w:t>
      </w:r>
      <w:r w:rsidR="002E15D7" w:rsidRPr="00C566AB">
        <w:rPr>
          <w:szCs w:val="22"/>
        </w:rPr>
        <w:t xml:space="preserve">aumenta </w:t>
      </w:r>
      <w:r w:rsidR="009B6F07" w:rsidRPr="00C566AB">
        <w:rPr>
          <w:szCs w:val="22"/>
        </w:rPr>
        <w:t xml:space="preserve">el </w:t>
      </w:r>
      <w:r w:rsidR="00713BB4">
        <w:rPr>
          <w:b/>
          <w:szCs w:val="22"/>
        </w:rPr>
        <w:t>Gasto Medio p</w:t>
      </w:r>
      <w:r w:rsidR="005D1372" w:rsidRPr="00C566AB">
        <w:rPr>
          <w:b/>
          <w:szCs w:val="22"/>
        </w:rPr>
        <w:t>or Receta</w:t>
      </w:r>
      <w:r w:rsidR="009B6F07" w:rsidRPr="00C566AB">
        <w:rPr>
          <w:b/>
          <w:szCs w:val="22"/>
        </w:rPr>
        <w:t xml:space="preserve"> un</w:t>
      </w:r>
      <w:r w:rsidR="005D1372" w:rsidRPr="00C566AB">
        <w:rPr>
          <w:b/>
          <w:szCs w:val="22"/>
        </w:rPr>
        <w:t xml:space="preserve"> </w:t>
      </w:r>
      <w:r w:rsidR="002C3F5C">
        <w:rPr>
          <w:b/>
          <w:szCs w:val="22"/>
        </w:rPr>
        <w:t>2,32</w:t>
      </w:r>
      <w:r w:rsidR="00AD6AB6" w:rsidRPr="00C566AB">
        <w:rPr>
          <w:b/>
          <w:szCs w:val="22"/>
        </w:rPr>
        <w:t>%.</w:t>
      </w:r>
    </w:p>
    <w:p w:rsidR="009B6F07" w:rsidRPr="00C566AB" w:rsidRDefault="009B6F07" w:rsidP="00661B46">
      <w:pPr>
        <w:jc w:val="both"/>
      </w:pPr>
    </w:p>
    <w:p w:rsidR="008145BF" w:rsidRDefault="003506C6" w:rsidP="008145BF">
      <w:pPr>
        <w:jc w:val="both"/>
      </w:pPr>
      <w:r>
        <w:t>L</w:t>
      </w:r>
      <w:r w:rsidR="008145BF" w:rsidRPr="00C566AB">
        <w:t xml:space="preserve">a demanda de medicamentos continúa normalizándose respecto al </w:t>
      </w:r>
      <w:r w:rsidR="00156535" w:rsidRPr="00C566AB">
        <w:t>año 2012 y en el acumulado interanual respecto a 201</w:t>
      </w:r>
      <w:r w:rsidR="00FC05A9">
        <w:t>6</w:t>
      </w:r>
      <w:r w:rsidR="00156535" w:rsidRPr="00C566AB">
        <w:t xml:space="preserve"> se ha producido un incremento de</w:t>
      </w:r>
      <w:r>
        <w:t xml:space="preserve"> </w:t>
      </w:r>
      <w:r w:rsidR="00FC05A9">
        <w:t>1</w:t>
      </w:r>
      <w:r w:rsidR="002C3F5C">
        <w:t>1,5</w:t>
      </w:r>
      <w:r w:rsidR="00253A56">
        <w:t xml:space="preserve"> </w:t>
      </w:r>
      <w:r w:rsidR="00156535" w:rsidRPr="00C566AB">
        <w:t xml:space="preserve"> millones de recetas</w:t>
      </w:r>
      <w:r w:rsidR="008145BF" w:rsidRPr="00C566AB">
        <w:t>.</w:t>
      </w:r>
    </w:p>
    <w:p w:rsidR="00996DE8" w:rsidRDefault="00996DE8" w:rsidP="008145BF">
      <w:pPr>
        <w:jc w:val="both"/>
      </w:pPr>
    </w:p>
    <w:p w:rsidR="00996DE8" w:rsidRDefault="00996DE8" w:rsidP="008145BF">
      <w:pPr>
        <w:jc w:val="both"/>
        <w:rPr>
          <w:b/>
        </w:rPr>
      </w:pPr>
      <w:r w:rsidRPr="002C3F5C">
        <w:rPr>
          <w:b/>
        </w:rPr>
        <w:t>En este Observatorio se ha hecho un análisis de la evolución y previsiones del mercado farmacéutico español en 2016, que alcanzó la cifra de 18.800 millones de euros</w:t>
      </w:r>
      <w:r w:rsidR="00A73E1E" w:rsidRPr="002C3F5C">
        <w:rPr>
          <w:b/>
        </w:rPr>
        <w:t xml:space="preserve"> a Precio de Venta de Laboratorio (PVL)</w:t>
      </w:r>
      <w:r w:rsidRPr="002C3F5C">
        <w:rPr>
          <w:b/>
        </w:rPr>
        <w:t>, lo que sitúa a nuestro país en uno de los diez primeros mercados mundiales de medicamentos.</w:t>
      </w:r>
    </w:p>
    <w:p w:rsidR="002C3F5C" w:rsidRDefault="002C3F5C" w:rsidP="008145BF">
      <w:pPr>
        <w:jc w:val="both"/>
        <w:rPr>
          <w:b/>
        </w:rPr>
      </w:pPr>
    </w:p>
    <w:p w:rsidR="002C3F5C" w:rsidRDefault="002C3F5C" w:rsidP="008145BF">
      <w:pPr>
        <w:jc w:val="both"/>
        <w:rPr>
          <w:b/>
        </w:rPr>
      </w:pPr>
      <w:r>
        <w:rPr>
          <w:b/>
        </w:rPr>
        <w:t xml:space="preserve">Las principales conclusiones de este análisis son: </w:t>
      </w:r>
    </w:p>
    <w:p w:rsidR="002C3F5C" w:rsidRDefault="002C3F5C" w:rsidP="008145BF">
      <w:pPr>
        <w:jc w:val="both"/>
        <w:rPr>
          <w:b/>
        </w:rPr>
      </w:pPr>
    </w:p>
    <w:p w:rsidR="002C3F5C" w:rsidRDefault="006550EE" w:rsidP="002C3F5C">
      <w:pPr>
        <w:pStyle w:val="Prrafodelista"/>
        <w:numPr>
          <w:ilvl w:val="0"/>
          <w:numId w:val="20"/>
        </w:numPr>
        <w:jc w:val="both"/>
        <w:rPr>
          <w:b/>
        </w:rPr>
      </w:pPr>
      <w:r>
        <w:rPr>
          <w:b/>
        </w:rPr>
        <w:t>E</w:t>
      </w:r>
      <w:r w:rsidR="002C3F5C" w:rsidRPr="002C3F5C">
        <w:rPr>
          <w:b/>
        </w:rPr>
        <w:t>l mercado hospitalario es el que dirige el crecimiento, tanto en unidades como en valores, aunque se aprecia una tendencia menor en la dispensación a pacientes externos y ambulantes que en los años anteriores</w:t>
      </w:r>
      <w:r>
        <w:rPr>
          <w:b/>
        </w:rPr>
        <w:t>, en algunas Comunidades Autónomas</w:t>
      </w:r>
      <w:bookmarkStart w:id="0" w:name="_GoBack"/>
      <w:bookmarkEnd w:id="0"/>
      <w:r w:rsidR="002C3F5C" w:rsidRPr="002C3F5C">
        <w:rPr>
          <w:b/>
        </w:rPr>
        <w:t xml:space="preserve">. </w:t>
      </w:r>
    </w:p>
    <w:p w:rsidR="002C3F5C" w:rsidRDefault="006550EE" w:rsidP="002C3F5C">
      <w:pPr>
        <w:pStyle w:val="Prrafodelista"/>
        <w:numPr>
          <w:ilvl w:val="0"/>
          <w:numId w:val="20"/>
        </w:numPr>
        <w:jc w:val="both"/>
        <w:rPr>
          <w:b/>
        </w:rPr>
      </w:pPr>
      <w:r>
        <w:rPr>
          <w:b/>
        </w:rPr>
        <w:t>El mercado de las oficinas de farmacia crece mucho más ligeramente y todavía no ha recuperado las cifras del año 2011.</w:t>
      </w:r>
    </w:p>
    <w:p w:rsidR="006550EE" w:rsidRDefault="006550EE" w:rsidP="002C3F5C">
      <w:pPr>
        <w:pStyle w:val="Prrafodelista"/>
        <w:numPr>
          <w:ilvl w:val="0"/>
          <w:numId w:val="20"/>
        </w:numPr>
        <w:jc w:val="both"/>
        <w:rPr>
          <w:b/>
        </w:rPr>
      </w:pPr>
      <w:r>
        <w:rPr>
          <w:b/>
        </w:rPr>
        <w:t>Los genéricos suponen un alto porcentaje de las dispensaciones pero su mercado está estabilizado en un 20% y entre los medicamentos que compiten con los genéricos hay un claro predominio de los medicamentos de marca.</w:t>
      </w:r>
    </w:p>
    <w:p w:rsidR="006550EE" w:rsidRDefault="006550EE" w:rsidP="002C3F5C">
      <w:pPr>
        <w:pStyle w:val="Prrafodelista"/>
        <w:numPr>
          <w:ilvl w:val="0"/>
          <w:numId w:val="20"/>
        </w:numPr>
        <w:jc w:val="both"/>
        <w:rPr>
          <w:b/>
        </w:rPr>
      </w:pPr>
      <w:r>
        <w:rPr>
          <w:b/>
        </w:rPr>
        <w:t>La recuperación del mercado no financiado y de Consumer Health en las farmacias mantiene crecimientos superiores al mercado financiado tanto en unidades +2,4% como en valores +5,4%.</w:t>
      </w:r>
    </w:p>
    <w:p w:rsidR="006550EE" w:rsidRDefault="006550EE" w:rsidP="002C3F5C">
      <w:pPr>
        <w:pStyle w:val="Prrafodelista"/>
        <w:numPr>
          <w:ilvl w:val="0"/>
          <w:numId w:val="20"/>
        </w:numPr>
        <w:jc w:val="both"/>
        <w:rPr>
          <w:b/>
        </w:rPr>
      </w:pPr>
      <w:r>
        <w:rPr>
          <w:b/>
        </w:rPr>
        <w:t>En conjunto el mercado tiende a la estabilización y no se esperan grandes crecimientos en los próximos años, particularmente en el mercado de las oficinas de farmacia que viene lastrado por los  fuertes descensos experimentados entre los años 2011 y 2014.</w:t>
      </w:r>
    </w:p>
    <w:p w:rsidR="006550EE" w:rsidRPr="002C3F5C" w:rsidRDefault="006550EE" w:rsidP="006550EE">
      <w:pPr>
        <w:pStyle w:val="Prrafodelista"/>
        <w:ind w:left="720"/>
        <w:jc w:val="both"/>
        <w:rPr>
          <w:b/>
        </w:rPr>
      </w:pPr>
    </w:p>
    <w:p w:rsidR="006908B0" w:rsidRPr="00C566AB" w:rsidRDefault="006908B0" w:rsidP="008828C9">
      <w:pPr>
        <w:autoSpaceDE w:val="0"/>
        <w:autoSpaceDN w:val="0"/>
        <w:adjustRightInd w:val="0"/>
        <w:jc w:val="both"/>
      </w:pPr>
      <w:r w:rsidRPr="00C566AB">
        <w:rPr>
          <w:b/>
        </w:rPr>
        <w:t>Finalmente, las previsiones a corto plazo –</w:t>
      </w:r>
      <w:r w:rsidR="006E172A">
        <w:rPr>
          <w:b/>
        </w:rPr>
        <w:t xml:space="preserve"> </w:t>
      </w:r>
      <w:r w:rsidR="00102431">
        <w:rPr>
          <w:b/>
        </w:rPr>
        <w:t>julio</w:t>
      </w:r>
      <w:r w:rsidR="006550EE">
        <w:rPr>
          <w:b/>
        </w:rPr>
        <w:t xml:space="preserve"> y agosto</w:t>
      </w:r>
      <w:r w:rsidR="00021C32">
        <w:rPr>
          <w:b/>
        </w:rPr>
        <w:t xml:space="preserve"> </w:t>
      </w:r>
      <w:r w:rsidR="00F81FEB">
        <w:rPr>
          <w:b/>
        </w:rPr>
        <w:t xml:space="preserve">de </w:t>
      </w:r>
      <w:r w:rsidR="004F7158">
        <w:rPr>
          <w:b/>
        </w:rPr>
        <w:t>2017</w:t>
      </w:r>
      <w:r w:rsidR="002B4A10" w:rsidRPr="00C566AB">
        <w:rPr>
          <w:b/>
        </w:rPr>
        <w:t xml:space="preserve"> </w:t>
      </w:r>
      <w:r w:rsidRPr="00C566AB">
        <w:rPr>
          <w:b/>
        </w:rPr>
        <w:t xml:space="preserve">– </w:t>
      </w:r>
      <w:r w:rsidRPr="00C566AB">
        <w:t>indican que</w:t>
      </w:r>
      <w:r w:rsidR="0095159F" w:rsidRPr="00C566AB">
        <w:t xml:space="preserve"> </w:t>
      </w:r>
      <w:r w:rsidR="008D7FC6" w:rsidRPr="00C566AB">
        <w:t xml:space="preserve">el </w:t>
      </w:r>
      <w:r w:rsidR="00BC55E8" w:rsidRPr="00C566AB">
        <w:t xml:space="preserve">mercado </w:t>
      </w:r>
      <w:r w:rsidR="008D7FC6" w:rsidRPr="00C566AB">
        <w:t xml:space="preserve">continuará </w:t>
      </w:r>
      <w:r w:rsidR="00F976A3" w:rsidRPr="00C566AB">
        <w:t>e</w:t>
      </w:r>
      <w:r w:rsidR="00BC55E8" w:rsidRPr="00C566AB">
        <w:t>n un crecimiento moderado</w:t>
      </w:r>
      <w:r w:rsidR="008D7FC6" w:rsidRPr="00C566AB">
        <w:t>,</w:t>
      </w:r>
      <w:r w:rsidR="007571AE">
        <w:t xml:space="preserve"> al menos hasta que se disipen otras incertidumbres</w:t>
      </w:r>
      <w:r w:rsidR="0037680B">
        <w:t xml:space="preserve"> de carácter político</w:t>
      </w:r>
      <w:r w:rsidR="006550EE">
        <w:t xml:space="preserve"> y aparezca la nueva Orden de Precios de Referencia</w:t>
      </w:r>
      <w:r w:rsidR="007571AE">
        <w:t>.</w:t>
      </w:r>
    </w:p>
    <w:sectPr w:rsidR="006908B0" w:rsidRPr="00C566AB" w:rsidSect="0056402C">
      <w:headerReference w:type="default" r:id="rId19"/>
      <w:footerReference w:type="default" r:id="rId20"/>
      <w:pgSz w:w="11906" w:h="16838" w:code="9"/>
      <w:pgMar w:top="1418" w:right="1531" w:bottom="1418"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09" w:rsidRDefault="005D3D09">
      <w:r>
        <w:separator/>
      </w:r>
    </w:p>
  </w:endnote>
  <w:endnote w:type="continuationSeparator" w:id="0">
    <w:p w:rsidR="005D3D09" w:rsidRDefault="005D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B5" w:rsidRDefault="00E757B5">
    <w:pPr>
      <w:pStyle w:val="Piedepgina"/>
      <w:jc w:val="center"/>
    </w:pPr>
    <w:r>
      <w:t>FEDERACIÓN EMPRESARIAL DE FARMACÉUTICOS ESPAÑOLES</w:t>
    </w:r>
  </w:p>
  <w:p w:rsidR="00E757B5" w:rsidRDefault="00E757B5">
    <w:pPr>
      <w:pStyle w:val="Piedepgina"/>
      <w:jc w:val="center"/>
    </w:pPr>
    <w:r>
      <w:t>Príncipe de Vergara 8, 3º. 28001 – Madrid</w:t>
    </w:r>
  </w:p>
  <w:p w:rsidR="00E757B5" w:rsidRDefault="00E757B5">
    <w:pPr>
      <w:pStyle w:val="Piedepgina"/>
      <w:jc w:val="center"/>
    </w:pPr>
    <w:r>
      <w:t>•Tel: 91 575 43 86 • Fax: 91 577 57 43 • e-mail: federacion@fefe.com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09" w:rsidRDefault="005D3D09">
      <w:r>
        <w:separator/>
      </w:r>
    </w:p>
  </w:footnote>
  <w:footnote w:type="continuationSeparator" w:id="0">
    <w:p w:rsidR="005D3D09" w:rsidRDefault="005D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B5" w:rsidRPr="00397C33" w:rsidRDefault="003D21CD" w:rsidP="009E4E04">
    <w:pPr>
      <w:pStyle w:val="Encabezado"/>
    </w:pPr>
    <w:r>
      <w:rPr>
        <w:noProof/>
      </w:rPr>
      <w:drawing>
        <wp:inline distT="0" distB="0" distL="0" distR="0">
          <wp:extent cx="800100" cy="685800"/>
          <wp:effectExtent l="0" t="0" r="0" b="0"/>
          <wp:docPr id="13" name="Imagen 6" descr="Logof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fefe"/>
                  <pic:cNvPicPr>
                    <a:picLocks noChangeAspect="1" noChangeArrowheads="1"/>
                  </pic:cNvPicPr>
                </pic:nvPicPr>
                <pic:blipFill>
                  <a:blip r:embed="rId1">
                    <a:lum bright="4000"/>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r w:rsidR="00E757B5">
      <w:tab/>
    </w:r>
    <w:r w:rsidR="00E757B5" w:rsidRPr="00DB1CBB">
      <w:rPr>
        <w:rFonts w:ascii="Arial Black" w:hAnsi="Arial Black"/>
        <w:b/>
        <w:bCs/>
        <w:color w:val="008080"/>
        <w:sz w:val="48"/>
      </w:rPr>
      <w:t>OBSERVATORIO</w:t>
    </w:r>
    <w:r w:rsidR="00E757B5">
      <w:rPr>
        <w:rFonts w:ascii="Arial Black" w:hAnsi="Arial Black"/>
        <w:b/>
        <w:bCs/>
        <w:color w:val="008080"/>
        <w:sz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11.25pt;height:11.25pt" o:bullet="t">
        <v:imagedata r:id="rId2" o:title=""/>
      </v:shape>
    </w:pict>
  </w:numPicBullet>
  <w:numPicBullet w:numPicBulletId="2">
    <w:pict>
      <v:shape id="_x0000_i1028" type="#_x0000_t75" style="width:11.25pt;height:11.25pt" o:bullet="t">
        <v:imagedata r:id="rId3" o:title=""/>
      </v:shape>
    </w:pict>
  </w:numPicBullet>
  <w:numPicBullet w:numPicBulletId="3">
    <w:pict>
      <v:shape id="_x0000_i1029" type="#_x0000_t75" style="width:9pt;height:9pt" o:bullet="t">
        <v:imagedata r:id="rId4" o:title=""/>
      </v:shape>
    </w:pict>
  </w:numPicBullet>
  <w:numPicBullet w:numPicBulletId="4">
    <w:pict>
      <v:shape id="_x0000_i1030" type="#_x0000_t75" style="width:9pt;height:9pt" o:bullet="t">
        <v:imagedata r:id="rId5" o:title=""/>
      </v:shape>
    </w:pict>
  </w:numPicBullet>
  <w:numPicBullet w:numPicBulletId="5">
    <w:pict>
      <v:shape id="_x0000_i1031" type="#_x0000_t75" style="width:13.5pt;height:15pt" o:bullet="t">
        <v:imagedata r:id="rId6" o:title=""/>
      </v:shape>
    </w:pict>
  </w:numPicBullet>
  <w:abstractNum w:abstractNumId="0">
    <w:nsid w:val="009D3720"/>
    <w:multiLevelType w:val="hybridMultilevel"/>
    <w:tmpl w:val="E7C61680"/>
    <w:lvl w:ilvl="0" w:tplc="A8C62574">
      <w:start w:val="1"/>
      <w:numFmt w:val="bullet"/>
      <w:lvlText w:val="o"/>
      <w:lvlJc w:val="left"/>
      <w:pPr>
        <w:tabs>
          <w:tab w:val="num" w:pos="720"/>
        </w:tabs>
        <w:ind w:left="720" w:hanging="360"/>
      </w:pPr>
      <w:rPr>
        <w:rFonts w:ascii="Courier New" w:hAnsi="Courier New" w:hint="default"/>
      </w:rPr>
    </w:lvl>
    <w:lvl w:ilvl="1" w:tplc="4D38F644">
      <w:start w:val="1829"/>
      <w:numFmt w:val="bullet"/>
      <w:lvlText w:val="–"/>
      <w:lvlJc w:val="left"/>
      <w:pPr>
        <w:tabs>
          <w:tab w:val="num" w:pos="1440"/>
        </w:tabs>
        <w:ind w:left="1440" w:hanging="360"/>
      </w:pPr>
      <w:rPr>
        <w:rFonts w:ascii="Times New Roman" w:hAnsi="Times New Roman" w:hint="default"/>
      </w:rPr>
    </w:lvl>
    <w:lvl w:ilvl="2" w:tplc="4B68255C" w:tentative="1">
      <w:start w:val="1"/>
      <w:numFmt w:val="bullet"/>
      <w:lvlText w:val="o"/>
      <w:lvlJc w:val="left"/>
      <w:pPr>
        <w:tabs>
          <w:tab w:val="num" w:pos="2160"/>
        </w:tabs>
        <w:ind w:left="2160" w:hanging="360"/>
      </w:pPr>
      <w:rPr>
        <w:rFonts w:ascii="Courier New" w:hAnsi="Courier New" w:hint="default"/>
      </w:rPr>
    </w:lvl>
    <w:lvl w:ilvl="3" w:tplc="B148ADC2" w:tentative="1">
      <w:start w:val="1"/>
      <w:numFmt w:val="bullet"/>
      <w:lvlText w:val="o"/>
      <w:lvlJc w:val="left"/>
      <w:pPr>
        <w:tabs>
          <w:tab w:val="num" w:pos="2880"/>
        </w:tabs>
        <w:ind w:left="2880" w:hanging="360"/>
      </w:pPr>
      <w:rPr>
        <w:rFonts w:ascii="Courier New" w:hAnsi="Courier New" w:hint="default"/>
      </w:rPr>
    </w:lvl>
    <w:lvl w:ilvl="4" w:tplc="5E52F2C6" w:tentative="1">
      <w:start w:val="1"/>
      <w:numFmt w:val="bullet"/>
      <w:lvlText w:val="o"/>
      <w:lvlJc w:val="left"/>
      <w:pPr>
        <w:tabs>
          <w:tab w:val="num" w:pos="3600"/>
        </w:tabs>
        <w:ind w:left="3600" w:hanging="360"/>
      </w:pPr>
      <w:rPr>
        <w:rFonts w:ascii="Courier New" w:hAnsi="Courier New" w:hint="default"/>
      </w:rPr>
    </w:lvl>
    <w:lvl w:ilvl="5" w:tplc="23D8A14C" w:tentative="1">
      <w:start w:val="1"/>
      <w:numFmt w:val="bullet"/>
      <w:lvlText w:val="o"/>
      <w:lvlJc w:val="left"/>
      <w:pPr>
        <w:tabs>
          <w:tab w:val="num" w:pos="4320"/>
        </w:tabs>
        <w:ind w:left="4320" w:hanging="360"/>
      </w:pPr>
      <w:rPr>
        <w:rFonts w:ascii="Courier New" w:hAnsi="Courier New" w:hint="default"/>
      </w:rPr>
    </w:lvl>
    <w:lvl w:ilvl="6" w:tplc="6CC8BD9C" w:tentative="1">
      <w:start w:val="1"/>
      <w:numFmt w:val="bullet"/>
      <w:lvlText w:val="o"/>
      <w:lvlJc w:val="left"/>
      <w:pPr>
        <w:tabs>
          <w:tab w:val="num" w:pos="5040"/>
        </w:tabs>
        <w:ind w:left="5040" w:hanging="360"/>
      </w:pPr>
      <w:rPr>
        <w:rFonts w:ascii="Courier New" w:hAnsi="Courier New" w:hint="default"/>
      </w:rPr>
    </w:lvl>
    <w:lvl w:ilvl="7" w:tplc="7FB85E8E" w:tentative="1">
      <w:start w:val="1"/>
      <w:numFmt w:val="bullet"/>
      <w:lvlText w:val="o"/>
      <w:lvlJc w:val="left"/>
      <w:pPr>
        <w:tabs>
          <w:tab w:val="num" w:pos="5760"/>
        </w:tabs>
        <w:ind w:left="5760" w:hanging="360"/>
      </w:pPr>
      <w:rPr>
        <w:rFonts w:ascii="Courier New" w:hAnsi="Courier New" w:hint="default"/>
      </w:rPr>
    </w:lvl>
    <w:lvl w:ilvl="8" w:tplc="E7CE4B0E" w:tentative="1">
      <w:start w:val="1"/>
      <w:numFmt w:val="bullet"/>
      <w:lvlText w:val="o"/>
      <w:lvlJc w:val="left"/>
      <w:pPr>
        <w:tabs>
          <w:tab w:val="num" w:pos="6480"/>
        </w:tabs>
        <w:ind w:left="6480" w:hanging="360"/>
      </w:pPr>
      <w:rPr>
        <w:rFonts w:ascii="Courier New" w:hAnsi="Courier New" w:hint="default"/>
      </w:rPr>
    </w:lvl>
  </w:abstractNum>
  <w:abstractNum w:abstractNumId="1">
    <w:nsid w:val="08486D21"/>
    <w:multiLevelType w:val="hybridMultilevel"/>
    <w:tmpl w:val="C9C07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0D7A2A"/>
    <w:multiLevelType w:val="hybridMultilevel"/>
    <w:tmpl w:val="F404011C"/>
    <w:lvl w:ilvl="0" w:tplc="D1D0D696">
      <w:start w:val="1"/>
      <w:numFmt w:val="bullet"/>
      <w:lvlText w:val="o"/>
      <w:lvlJc w:val="left"/>
      <w:pPr>
        <w:tabs>
          <w:tab w:val="num" w:pos="720"/>
        </w:tabs>
        <w:ind w:left="720" w:hanging="360"/>
      </w:pPr>
      <w:rPr>
        <w:rFonts w:ascii="Courier New" w:hAnsi="Courier New" w:hint="default"/>
      </w:rPr>
    </w:lvl>
    <w:lvl w:ilvl="1" w:tplc="E802128C">
      <w:start w:val="574"/>
      <w:numFmt w:val="bullet"/>
      <w:lvlText w:val="–"/>
      <w:lvlJc w:val="left"/>
      <w:pPr>
        <w:tabs>
          <w:tab w:val="num" w:pos="1440"/>
        </w:tabs>
        <w:ind w:left="1440" w:hanging="360"/>
      </w:pPr>
      <w:rPr>
        <w:rFonts w:ascii="Times New Roman" w:hAnsi="Times New Roman" w:hint="default"/>
      </w:rPr>
    </w:lvl>
    <w:lvl w:ilvl="2" w:tplc="C8DC55A2" w:tentative="1">
      <w:start w:val="1"/>
      <w:numFmt w:val="bullet"/>
      <w:lvlText w:val="o"/>
      <w:lvlJc w:val="left"/>
      <w:pPr>
        <w:tabs>
          <w:tab w:val="num" w:pos="2160"/>
        </w:tabs>
        <w:ind w:left="2160" w:hanging="360"/>
      </w:pPr>
      <w:rPr>
        <w:rFonts w:ascii="Courier New" w:hAnsi="Courier New" w:hint="default"/>
      </w:rPr>
    </w:lvl>
    <w:lvl w:ilvl="3" w:tplc="9362A344" w:tentative="1">
      <w:start w:val="1"/>
      <w:numFmt w:val="bullet"/>
      <w:lvlText w:val="o"/>
      <w:lvlJc w:val="left"/>
      <w:pPr>
        <w:tabs>
          <w:tab w:val="num" w:pos="2880"/>
        </w:tabs>
        <w:ind w:left="2880" w:hanging="360"/>
      </w:pPr>
      <w:rPr>
        <w:rFonts w:ascii="Courier New" w:hAnsi="Courier New" w:hint="default"/>
      </w:rPr>
    </w:lvl>
    <w:lvl w:ilvl="4" w:tplc="DDC09332" w:tentative="1">
      <w:start w:val="1"/>
      <w:numFmt w:val="bullet"/>
      <w:lvlText w:val="o"/>
      <w:lvlJc w:val="left"/>
      <w:pPr>
        <w:tabs>
          <w:tab w:val="num" w:pos="3600"/>
        </w:tabs>
        <w:ind w:left="3600" w:hanging="360"/>
      </w:pPr>
      <w:rPr>
        <w:rFonts w:ascii="Courier New" w:hAnsi="Courier New" w:hint="default"/>
      </w:rPr>
    </w:lvl>
    <w:lvl w:ilvl="5" w:tplc="47AAC45A" w:tentative="1">
      <w:start w:val="1"/>
      <w:numFmt w:val="bullet"/>
      <w:lvlText w:val="o"/>
      <w:lvlJc w:val="left"/>
      <w:pPr>
        <w:tabs>
          <w:tab w:val="num" w:pos="4320"/>
        </w:tabs>
        <w:ind w:left="4320" w:hanging="360"/>
      </w:pPr>
      <w:rPr>
        <w:rFonts w:ascii="Courier New" w:hAnsi="Courier New" w:hint="default"/>
      </w:rPr>
    </w:lvl>
    <w:lvl w:ilvl="6" w:tplc="2A2A12B6" w:tentative="1">
      <w:start w:val="1"/>
      <w:numFmt w:val="bullet"/>
      <w:lvlText w:val="o"/>
      <w:lvlJc w:val="left"/>
      <w:pPr>
        <w:tabs>
          <w:tab w:val="num" w:pos="5040"/>
        </w:tabs>
        <w:ind w:left="5040" w:hanging="360"/>
      </w:pPr>
      <w:rPr>
        <w:rFonts w:ascii="Courier New" w:hAnsi="Courier New" w:hint="default"/>
      </w:rPr>
    </w:lvl>
    <w:lvl w:ilvl="7" w:tplc="5850748C" w:tentative="1">
      <w:start w:val="1"/>
      <w:numFmt w:val="bullet"/>
      <w:lvlText w:val="o"/>
      <w:lvlJc w:val="left"/>
      <w:pPr>
        <w:tabs>
          <w:tab w:val="num" w:pos="5760"/>
        </w:tabs>
        <w:ind w:left="5760" w:hanging="360"/>
      </w:pPr>
      <w:rPr>
        <w:rFonts w:ascii="Courier New" w:hAnsi="Courier New" w:hint="default"/>
      </w:rPr>
    </w:lvl>
    <w:lvl w:ilvl="8" w:tplc="C470B5AA" w:tentative="1">
      <w:start w:val="1"/>
      <w:numFmt w:val="bullet"/>
      <w:lvlText w:val="o"/>
      <w:lvlJc w:val="left"/>
      <w:pPr>
        <w:tabs>
          <w:tab w:val="num" w:pos="6480"/>
        </w:tabs>
        <w:ind w:left="6480" w:hanging="360"/>
      </w:pPr>
      <w:rPr>
        <w:rFonts w:ascii="Courier New" w:hAnsi="Courier New" w:hint="default"/>
      </w:rPr>
    </w:lvl>
  </w:abstractNum>
  <w:abstractNum w:abstractNumId="3">
    <w:nsid w:val="0DCD2A7B"/>
    <w:multiLevelType w:val="hybridMultilevel"/>
    <w:tmpl w:val="F06631E4"/>
    <w:lvl w:ilvl="0" w:tplc="7DE2A43E">
      <w:start w:val="1"/>
      <w:numFmt w:val="bullet"/>
      <w:lvlText w:val="o"/>
      <w:lvlJc w:val="left"/>
      <w:pPr>
        <w:tabs>
          <w:tab w:val="num" w:pos="644"/>
        </w:tabs>
        <w:ind w:left="644" w:hanging="360"/>
      </w:pPr>
      <w:rPr>
        <w:rFonts w:ascii="Courier New" w:hAnsi="Courier New" w:hint="default"/>
      </w:rPr>
    </w:lvl>
    <w:lvl w:ilvl="1" w:tplc="598E16DC" w:tentative="1">
      <w:start w:val="1"/>
      <w:numFmt w:val="bullet"/>
      <w:lvlText w:val="o"/>
      <w:lvlJc w:val="left"/>
      <w:pPr>
        <w:tabs>
          <w:tab w:val="num" w:pos="1364"/>
        </w:tabs>
        <w:ind w:left="1364" w:hanging="360"/>
      </w:pPr>
      <w:rPr>
        <w:rFonts w:ascii="Courier New" w:hAnsi="Courier New" w:hint="default"/>
      </w:rPr>
    </w:lvl>
    <w:lvl w:ilvl="2" w:tplc="489CD686" w:tentative="1">
      <w:start w:val="1"/>
      <w:numFmt w:val="bullet"/>
      <w:lvlText w:val="o"/>
      <w:lvlJc w:val="left"/>
      <w:pPr>
        <w:tabs>
          <w:tab w:val="num" w:pos="2084"/>
        </w:tabs>
        <w:ind w:left="2084" w:hanging="360"/>
      </w:pPr>
      <w:rPr>
        <w:rFonts w:ascii="Courier New" w:hAnsi="Courier New" w:hint="default"/>
      </w:rPr>
    </w:lvl>
    <w:lvl w:ilvl="3" w:tplc="61E620EC" w:tentative="1">
      <w:start w:val="1"/>
      <w:numFmt w:val="bullet"/>
      <w:lvlText w:val="o"/>
      <w:lvlJc w:val="left"/>
      <w:pPr>
        <w:tabs>
          <w:tab w:val="num" w:pos="2804"/>
        </w:tabs>
        <w:ind w:left="2804" w:hanging="360"/>
      </w:pPr>
      <w:rPr>
        <w:rFonts w:ascii="Courier New" w:hAnsi="Courier New" w:hint="default"/>
      </w:rPr>
    </w:lvl>
    <w:lvl w:ilvl="4" w:tplc="443C464A" w:tentative="1">
      <w:start w:val="1"/>
      <w:numFmt w:val="bullet"/>
      <w:lvlText w:val="o"/>
      <w:lvlJc w:val="left"/>
      <w:pPr>
        <w:tabs>
          <w:tab w:val="num" w:pos="3524"/>
        </w:tabs>
        <w:ind w:left="3524" w:hanging="360"/>
      </w:pPr>
      <w:rPr>
        <w:rFonts w:ascii="Courier New" w:hAnsi="Courier New" w:hint="default"/>
      </w:rPr>
    </w:lvl>
    <w:lvl w:ilvl="5" w:tplc="07B899D8" w:tentative="1">
      <w:start w:val="1"/>
      <w:numFmt w:val="bullet"/>
      <w:lvlText w:val="o"/>
      <w:lvlJc w:val="left"/>
      <w:pPr>
        <w:tabs>
          <w:tab w:val="num" w:pos="4244"/>
        </w:tabs>
        <w:ind w:left="4244" w:hanging="360"/>
      </w:pPr>
      <w:rPr>
        <w:rFonts w:ascii="Courier New" w:hAnsi="Courier New" w:hint="default"/>
      </w:rPr>
    </w:lvl>
    <w:lvl w:ilvl="6" w:tplc="97FE6652" w:tentative="1">
      <w:start w:val="1"/>
      <w:numFmt w:val="bullet"/>
      <w:lvlText w:val="o"/>
      <w:lvlJc w:val="left"/>
      <w:pPr>
        <w:tabs>
          <w:tab w:val="num" w:pos="4964"/>
        </w:tabs>
        <w:ind w:left="4964" w:hanging="360"/>
      </w:pPr>
      <w:rPr>
        <w:rFonts w:ascii="Courier New" w:hAnsi="Courier New" w:hint="default"/>
      </w:rPr>
    </w:lvl>
    <w:lvl w:ilvl="7" w:tplc="C50C03BA" w:tentative="1">
      <w:start w:val="1"/>
      <w:numFmt w:val="bullet"/>
      <w:lvlText w:val="o"/>
      <w:lvlJc w:val="left"/>
      <w:pPr>
        <w:tabs>
          <w:tab w:val="num" w:pos="5684"/>
        </w:tabs>
        <w:ind w:left="5684" w:hanging="360"/>
      </w:pPr>
      <w:rPr>
        <w:rFonts w:ascii="Courier New" w:hAnsi="Courier New" w:hint="default"/>
      </w:rPr>
    </w:lvl>
    <w:lvl w:ilvl="8" w:tplc="3AE6E540" w:tentative="1">
      <w:start w:val="1"/>
      <w:numFmt w:val="bullet"/>
      <w:lvlText w:val="o"/>
      <w:lvlJc w:val="left"/>
      <w:pPr>
        <w:tabs>
          <w:tab w:val="num" w:pos="6404"/>
        </w:tabs>
        <w:ind w:left="6404" w:hanging="360"/>
      </w:pPr>
      <w:rPr>
        <w:rFonts w:ascii="Courier New" w:hAnsi="Courier New" w:hint="default"/>
      </w:rPr>
    </w:lvl>
  </w:abstractNum>
  <w:abstractNum w:abstractNumId="4">
    <w:nsid w:val="10757B6E"/>
    <w:multiLevelType w:val="hybridMultilevel"/>
    <w:tmpl w:val="9F3AFF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802E27"/>
    <w:multiLevelType w:val="hybridMultilevel"/>
    <w:tmpl w:val="745A0C8C"/>
    <w:lvl w:ilvl="0" w:tplc="CCC4F4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91DDC"/>
    <w:multiLevelType w:val="hybridMultilevel"/>
    <w:tmpl w:val="5192D888"/>
    <w:lvl w:ilvl="0" w:tplc="9B7EA15C">
      <w:start w:val="1"/>
      <w:numFmt w:val="bullet"/>
      <w:lvlText w:val="•"/>
      <w:lvlJc w:val="left"/>
      <w:pPr>
        <w:tabs>
          <w:tab w:val="num" w:pos="720"/>
        </w:tabs>
        <w:ind w:left="720" w:hanging="360"/>
      </w:pPr>
      <w:rPr>
        <w:rFonts w:ascii="Arial" w:hAnsi="Arial" w:hint="default"/>
      </w:rPr>
    </w:lvl>
    <w:lvl w:ilvl="1" w:tplc="CC28B218" w:tentative="1">
      <w:start w:val="1"/>
      <w:numFmt w:val="bullet"/>
      <w:lvlText w:val="•"/>
      <w:lvlJc w:val="left"/>
      <w:pPr>
        <w:tabs>
          <w:tab w:val="num" w:pos="1440"/>
        </w:tabs>
        <w:ind w:left="1440" w:hanging="360"/>
      </w:pPr>
      <w:rPr>
        <w:rFonts w:ascii="Arial" w:hAnsi="Arial" w:hint="default"/>
      </w:rPr>
    </w:lvl>
    <w:lvl w:ilvl="2" w:tplc="D6CC092E" w:tentative="1">
      <w:start w:val="1"/>
      <w:numFmt w:val="bullet"/>
      <w:lvlText w:val="•"/>
      <w:lvlJc w:val="left"/>
      <w:pPr>
        <w:tabs>
          <w:tab w:val="num" w:pos="2160"/>
        </w:tabs>
        <w:ind w:left="2160" w:hanging="360"/>
      </w:pPr>
      <w:rPr>
        <w:rFonts w:ascii="Arial" w:hAnsi="Arial" w:hint="default"/>
      </w:rPr>
    </w:lvl>
    <w:lvl w:ilvl="3" w:tplc="765C3EFC" w:tentative="1">
      <w:start w:val="1"/>
      <w:numFmt w:val="bullet"/>
      <w:lvlText w:val="•"/>
      <w:lvlJc w:val="left"/>
      <w:pPr>
        <w:tabs>
          <w:tab w:val="num" w:pos="2880"/>
        </w:tabs>
        <w:ind w:left="2880" w:hanging="360"/>
      </w:pPr>
      <w:rPr>
        <w:rFonts w:ascii="Arial" w:hAnsi="Arial" w:hint="default"/>
      </w:rPr>
    </w:lvl>
    <w:lvl w:ilvl="4" w:tplc="A202A3A8" w:tentative="1">
      <w:start w:val="1"/>
      <w:numFmt w:val="bullet"/>
      <w:lvlText w:val="•"/>
      <w:lvlJc w:val="left"/>
      <w:pPr>
        <w:tabs>
          <w:tab w:val="num" w:pos="3600"/>
        </w:tabs>
        <w:ind w:left="3600" w:hanging="360"/>
      </w:pPr>
      <w:rPr>
        <w:rFonts w:ascii="Arial" w:hAnsi="Arial" w:hint="default"/>
      </w:rPr>
    </w:lvl>
    <w:lvl w:ilvl="5" w:tplc="EDE884E6" w:tentative="1">
      <w:start w:val="1"/>
      <w:numFmt w:val="bullet"/>
      <w:lvlText w:val="•"/>
      <w:lvlJc w:val="left"/>
      <w:pPr>
        <w:tabs>
          <w:tab w:val="num" w:pos="4320"/>
        </w:tabs>
        <w:ind w:left="4320" w:hanging="360"/>
      </w:pPr>
      <w:rPr>
        <w:rFonts w:ascii="Arial" w:hAnsi="Arial" w:hint="default"/>
      </w:rPr>
    </w:lvl>
    <w:lvl w:ilvl="6" w:tplc="EB68A6EA" w:tentative="1">
      <w:start w:val="1"/>
      <w:numFmt w:val="bullet"/>
      <w:lvlText w:val="•"/>
      <w:lvlJc w:val="left"/>
      <w:pPr>
        <w:tabs>
          <w:tab w:val="num" w:pos="5040"/>
        </w:tabs>
        <w:ind w:left="5040" w:hanging="360"/>
      </w:pPr>
      <w:rPr>
        <w:rFonts w:ascii="Arial" w:hAnsi="Arial" w:hint="default"/>
      </w:rPr>
    </w:lvl>
    <w:lvl w:ilvl="7" w:tplc="DC369896" w:tentative="1">
      <w:start w:val="1"/>
      <w:numFmt w:val="bullet"/>
      <w:lvlText w:val="•"/>
      <w:lvlJc w:val="left"/>
      <w:pPr>
        <w:tabs>
          <w:tab w:val="num" w:pos="5760"/>
        </w:tabs>
        <w:ind w:left="5760" w:hanging="360"/>
      </w:pPr>
      <w:rPr>
        <w:rFonts w:ascii="Arial" w:hAnsi="Arial" w:hint="default"/>
      </w:rPr>
    </w:lvl>
    <w:lvl w:ilvl="8" w:tplc="57782B3E" w:tentative="1">
      <w:start w:val="1"/>
      <w:numFmt w:val="bullet"/>
      <w:lvlText w:val="•"/>
      <w:lvlJc w:val="left"/>
      <w:pPr>
        <w:tabs>
          <w:tab w:val="num" w:pos="6480"/>
        </w:tabs>
        <w:ind w:left="6480" w:hanging="360"/>
      </w:pPr>
      <w:rPr>
        <w:rFonts w:ascii="Arial" w:hAnsi="Arial" w:hint="default"/>
      </w:rPr>
    </w:lvl>
  </w:abstractNum>
  <w:abstractNum w:abstractNumId="7">
    <w:nsid w:val="12E05B51"/>
    <w:multiLevelType w:val="hybridMultilevel"/>
    <w:tmpl w:val="DFAED3DC"/>
    <w:lvl w:ilvl="0" w:tplc="505E87F4">
      <w:start w:val="1"/>
      <w:numFmt w:val="bullet"/>
      <w:lvlText w:val="o"/>
      <w:lvlJc w:val="left"/>
      <w:pPr>
        <w:tabs>
          <w:tab w:val="num" w:pos="720"/>
        </w:tabs>
        <w:ind w:left="720" w:hanging="360"/>
      </w:pPr>
      <w:rPr>
        <w:rFonts w:ascii="Courier New" w:hAnsi="Courier New" w:hint="default"/>
      </w:rPr>
    </w:lvl>
    <w:lvl w:ilvl="1" w:tplc="14266772">
      <w:start w:val="1829"/>
      <w:numFmt w:val="bullet"/>
      <w:lvlText w:val="–"/>
      <w:lvlJc w:val="left"/>
      <w:pPr>
        <w:tabs>
          <w:tab w:val="num" w:pos="1440"/>
        </w:tabs>
        <w:ind w:left="1440" w:hanging="360"/>
      </w:pPr>
      <w:rPr>
        <w:rFonts w:ascii="Times New Roman" w:hAnsi="Times New Roman" w:hint="default"/>
      </w:rPr>
    </w:lvl>
    <w:lvl w:ilvl="2" w:tplc="1B44422A">
      <w:start w:val="1"/>
      <w:numFmt w:val="bullet"/>
      <w:lvlText w:val="o"/>
      <w:lvlJc w:val="left"/>
      <w:pPr>
        <w:tabs>
          <w:tab w:val="num" w:pos="2160"/>
        </w:tabs>
        <w:ind w:left="2160" w:hanging="360"/>
      </w:pPr>
      <w:rPr>
        <w:rFonts w:ascii="Courier New" w:hAnsi="Courier New" w:hint="default"/>
      </w:rPr>
    </w:lvl>
    <w:lvl w:ilvl="3" w:tplc="AD2874A8">
      <w:start w:val="1"/>
      <w:numFmt w:val="bullet"/>
      <w:lvlText w:val="o"/>
      <w:lvlJc w:val="left"/>
      <w:pPr>
        <w:tabs>
          <w:tab w:val="num" w:pos="2880"/>
        </w:tabs>
        <w:ind w:left="2880" w:hanging="360"/>
      </w:pPr>
      <w:rPr>
        <w:rFonts w:ascii="Courier New" w:hAnsi="Courier New" w:hint="default"/>
      </w:rPr>
    </w:lvl>
    <w:lvl w:ilvl="4" w:tplc="EAF0B8CA">
      <w:start w:val="1"/>
      <w:numFmt w:val="bullet"/>
      <w:lvlText w:val="o"/>
      <w:lvlJc w:val="left"/>
      <w:pPr>
        <w:tabs>
          <w:tab w:val="num" w:pos="3600"/>
        </w:tabs>
        <w:ind w:left="3600" w:hanging="360"/>
      </w:pPr>
      <w:rPr>
        <w:rFonts w:ascii="Courier New" w:hAnsi="Courier New" w:hint="default"/>
      </w:rPr>
    </w:lvl>
    <w:lvl w:ilvl="5" w:tplc="ADF880E8">
      <w:start w:val="1"/>
      <w:numFmt w:val="bullet"/>
      <w:lvlText w:val="o"/>
      <w:lvlJc w:val="left"/>
      <w:pPr>
        <w:tabs>
          <w:tab w:val="num" w:pos="4320"/>
        </w:tabs>
        <w:ind w:left="4320" w:hanging="360"/>
      </w:pPr>
      <w:rPr>
        <w:rFonts w:ascii="Courier New" w:hAnsi="Courier New" w:hint="default"/>
      </w:rPr>
    </w:lvl>
    <w:lvl w:ilvl="6" w:tplc="A26A6006">
      <w:start w:val="1"/>
      <w:numFmt w:val="bullet"/>
      <w:lvlText w:val="o"/>
      <w:lvlJc w:val="left"/>
      <w:pPr>
        <w:tabs>
          <w:tab w:val="num" w:pos="5040"/>
        </w:tabs>
        <w:ind w:left="5040" w:hanging="360"/>
      </w:pPr>
      <w:rPr>
        <w:rFonts w:ascii="Courier New" w:hAnsi="Courier New" w:hint="default"/>
      </w:rPr>
    </w:lvl>
    <w:lvl w:ilvl="7" w:tplc="4170DE5A">
      <w:start w:val="1"/>
      <w:numFmt w:val="bullet"/>
      <w:lvlText w:val="o"/>
      <w:lvlJc w:val="left"/>
      <w:pPr>
        <w:tabs>
          <w:tab w:val="num" w:pos="5760"/>
        </w:tabs>
        <w:ind w:left="5760" w:hanging="360"/>
      </w:pPr>
      <w:rPr>
        <w:rFonts w:ascii="Courier New" w:hAnsi="Courier New" w:hint="default"/>
      </w:rPr>
    </w:lvl>
    <w:lvl w:ilvl="8" w:tplc="AD8EBE54" w:tentative="1">
      <w:start w:val="1"/>
      <w:numFmt w:val="bullet"/>
      <w:lvlText w:val="o"/>
      <w:lvlJc w:val="left"/>
      <w:pPr>
        <w:tabs>
          <w:tab w:val="num" w:pos="6480"/>
        </w:tabs>
        <w:ind w:left="6480" w:hanging="360"/>
      </w:pPr>
      <w:rPr>
        <w:rFonts w:ascii="Courier New" w:hAnsi="Courier New" w:hint="default"/>
      </w:rPr>
    </w:lvl>
  </w:abstractNum>
  <w:abstractNum w:abstractNumId="8">
    <w:nsid w:val="28533DB7"/>
    <w:multiLevelType w:val="hybridMultilevel"/>
    <w:tmpl w:val="2A72D572"/>
    <w:lvl w:ilvl="0" w:tplc="653893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342F3D"/>
    <w:multiLevelType w:val="hybridMultilevel"/>
    <w:tmpl w:val="EEF2750A"/>
    <w:lvl w:ilvl="0" w:tplc="9E606928">
      <w:start w:val="1"/>
      <w:numFmt w:val="decimal"/>
      <w:lvlText w:val="%1."/>
      <w:lvlJc w:val="left"/>
      <w:pPr>
        <w:tabs>
          <w:tab w:val="num" w:pos="720"/>
        </w:tabs>
        <w:ind w:left="720" w:hanging="360"/>
      </w:pPr>
    </w:lvl>
    <w:lvl w:ilvl="1" w:tplc="A03CBF16">
      <w:start w:val="4486"/>
      <w:numFmt w:val="bullet"/>
      <w:lvlText w:val="–"/>
      <w:lvlJc w:val="left"/>
      <w:pPr>
        <w:tabs>
          <w:tab w:val="num" w:pos="1440"/>
        </w:tabs>
        <w:ind w:left="1440" w:hanging="360"/>
      </w:pPr>
      <w:rPr>
        <w:rFonts w:ascii="Times New Roman" w:hAnsi="Times New Roman" w:hint="default"/>
      </w:rPr>
    </w:lvl>
    <w:lvl w:ilvl="2" w:tplc="28C0AED2" w:tentative="1">
      <w:start w:val="1"/>
      <w:numFmt w:val="decimal"/>
      <w:lvlText w:val="%3."/>
      <w:lvlJc w:val="left"/>
      <w:pPr>
        <w:tabs>
          <w:tab w:val="num" w:pos="2160"/>
        </w:tabs>
        <w:ind w:left="2160" w:hanging="360"/>
      </w:pPr>
    </w:lvl>
    <w:lvl w:ilvl="3" w:tplc="1FFC49EC" w:tentative="1">
      <w:start w:val="1"/>
      <w:numFmt w:val="decimal"/>
      <w:lvlText w:val="%4."/>
      <w:lvlJc w:val="left"/>
      <w:pPr>
        <w:tabs>
          <w:tab w:val="num" w:pos="2880"/>
        </w:tabs>
        <w:ind w:left="2880" w:hanging="360"/>
      </w:pPr>
    </w:lvl>
    <w:lvl w:ilvl="4" w:tplc="3934060E" w:tentative="1">
      <w:start w:val="1"/>
      <w:numFmt w:val="decimal"/>
      <w:lvlText w:val="%5."/>
      <w:lvlJc w:val="left"/>
      <w:pPr>
        <w:tabs>
          <w:tab w:val="num" w:pos="3600"/>
        </w:tabs>
        <w:ind w:left="3600" w:hanging="360"/>
      </w:pPr>
    </w:lvl>
    <w:lvl w:ilvl="5" w:tplc="B7BA10DC" w:tentative="1">
      <w:start w:val="1"/>
      <w:numFmt w:val="decimal"/>
      <w:lvlText w:val="%6."/>
      <w:lvlJc w:val="left"/>
      <w:pPr>
        <w:tabs>
          <w:tab w:val="num" w:pos="4320"/>
        </w:tabs>
        <w:ind w:left="4320" w:hanging="360"/>
      </w:pPr>
    </w:lvl>
    <w:lvl w:ilvl="6" w:tplc="1898BCE6" w:tentative="1">
      <w:start w:val="1"/>
      <w:numFmt w:val="decimal"/>
      <w:lvlText w:val="%7."/>
      <w:lvlJc w:val="left"/>
      <w:pPr>
        <w:tabs>
          <w:tab w:val="num" w:pos="5040"/>
        </w:tabs>
        <w:ind w:left="5040" w:hanging="360"/>
      </w:pPr>
    </w:lvl>
    <w:lvl w:ilvl="7" w:tplc="5644099C" w:tentative="1">
      <w:start w:val="1"/>
      <w:numFmt w:val="decimal"/>
      <w:lvlText w:val="%8."/>
      <w:lvlJc w:val="left"/>
      <w:pPr>
        <w:tabs>
          <w:tab w:val="num" w:pos="5760"/>
        </w:tabs>
        <w:ind w:left="5760" w:hanging="360"/>
      </w:pPr>
    </w:lvl>
    <w:lvl w:ilvl="8" w:tplc="2A267CEC" w:tentative="1">
      <w:start w:val="1"/>
      <w:numFmt w:val="decimal"/>
      <w:lvlText w:val="%9."/>
      <w:lvlJc w:val="left"/>
      <w:pPr>
        <w:tabs>
          <w:tab w:val="num" w:pos="6480"/>
        </w:tabs>
        <w:ind w:left="6480" w:hanging="360"/>
      </w:pPr>
    </w:lvl>
  </w:abstractNum>
  <w:abstractNum w:abstractNumId="10">
    <w:nsid w:val="2F31327A"/>
    <w:multiLevelType w:val="hybridMultilevel"/>
    <w:tmpl w:val="538A2CF6"/>
    <w:lvl w:ilvl="0" w:tplc="5212E208">
      <w:start w:val="1"/>
      <w:numFmt w:val="bullet"/>
      <w:lvlText w:val="o"/>
      <w:lvlJc w:val="left"/>
      <w:pPr>
        <w:tabs>
          <w:tab w:val="num" w:pos="720"/>
        </w:tabs>
        <w:ind w:left="720" w:hanging="360"/>
      </w:pPr>
      <w:rPr>
        <w:rFonts w:ascii="Courier New" w:hAnsi="Courier New" w:hint="default"/>
      </w:rPr>
    </w:lvl>
    <w:lvl w:ilvl="1" w:tplc="DE0AAC78">
      <w:start w:val="844"/>
      <w:numFmt w:val="bullet"/>
      <w:lvlText w:val="–"/>
      <w:lvlJc w:val="left"/>
      <w:pPr>
        <w:tabs>
          <w:tab w:val="num" w:pos="1440"/>
        </w:tabs>
        <w:ind w:left="1440" w:hanging="360"/>
      </w:pPr>
      <w:rPr>
        <w:rFonts w:ascii="Times New Roman" w:hAnsi="Times New Roman" w:hint="default"/>
      </w:rPr>
    </w:lvl>
    <w:lvl w:ilvl="2" w:tplc="FA5E8DB2" w:tentative="1">
      <w:start w:val="1"/>
      <w:numFmt w:val="bullet"/>
      <w:lvlText w:val="o"/>
      <w:lvlJc w:val="left"/>
      <w:pPr>
        <w:tabs>
          <w:tab w:val="num" w:pos="2160"/>
        </w:tabs>
        <w:ind w:left="2160" w:hanging="360"/>
      </w:pPr>
      <w:rPr>
        <w:rFonts w:ascii="Courier New" w:hAnsi="Courier New" w:hint="default"/>
      </w:rPr>
    </w:lvl>
    <w:lvl w:ilvl="3" w:tplc="5086B8F8" w:tentative="1">
      <w:start w:val="1"/>
      <w:numFmt w:val="bullet"/>
      <w:lvlText w:val="o"/>
      <w:lvlJc w:val="left"/>
      <w:pPr>
        <w:tabs>
          <w:tab w:val="num" w:pos="2880"/>
        </w:tabs>
        <w:ind w:left="2880" w:hanging="360"/>
      </w:pPr>
      <w:rPr>
        <w:rFonts w:ascii="Courier New" w:hAnsi="Courier New" w:hint="default"/>
      </w:rPr>
    </w:lvl>
    <w:lvl w:ilvl="4" w:tplc="8C66A76A" w:tentative="1">
      <w:start w:val="1"/>
      <w:numFmt w:val="bullet"/>
      <w:lvlText w:val="o"/>
      <w:lvlJc w:val="left"/>
      <w:pPr>
        <w:tabs>
          <w:tab w:val="num" w:pos="3600"/>
        </w:tabs>
        <w:ind w:left="3600" w:hanging="360"/>
      </w:pPr>
      <w:rPr>
        <w:rFonts w:ascii="Courier New" w:hAnsi="Courier New" w:hint="default"/>
      </w:rPr>
    </w:lvl>
    <w:lvl w:ilvl="5" w:tplc="1984556A" w:tentative="1">
      <w:start w:val="1"/>
      <w:numFmt w:val="bullet"/>
      <w:lvlText w:val="o"/>
      <w:lvlJc w:val="left"/>
      <w:pPr>
        <w:tabs>
          <w:tab w:val="num" w:pos="4320"/>
        </w:tabs>
        <w:ind w:left="4320" w:hanging="360"/>
      </w:pPr>
      <w:rPr>
        <w:rFonts w:ascii="Courier New" w:hAnsi="Courier New" w:hint="default"/>
      </w:rPr>
    </w:lvl>
    <w:lvl w:ilvl="6" w:tplc="38F0CEDA" w:tentative="1">
      <w:start w:val="1"/>
      <w:numFmt w:val="bullet"/>
      <w:lvlText w:val="o"/>
      <w:lvlJc w:val="left"/>
      <w:pPr>
        <w:tabs>
          <w:tab w:val="num" w:pos="5040"/>
        </w:tabs>
        <w:ind w:left="5040" w:hanging="360"/>
      </w:pPr>
      <w:rPr>
        <w:rFonts w:ascii="Courier New" w:hAnsi="Courier New" w:hint="default"/>
      </w:rPr>
    </w:lvl>
    <w:lvl w:ilvl="7" w:tplc="2D6E6018" w:tentative="1">
      <w:start w:val="1"/>
      <w:numFmt w:val="bullet"/>
      <w:lvlText w:val="o"/>
      <w:lvlJc w:val="left"/>
      <w:pPr>
        <w:tabs>
          <w:tab w:val="num" w:pos="5760"/>
        </w:tabs>
        <w:ind w:left="5760" w:hanging="360"/>
      </w:pPr>
      <w:rPr>
        <w:rFonts w:ascii="Courier New" w:hAnsi="Courier New" w:hint="default"/>
      </w:rPr>
    </w:lvl>
    <w:lvl w:ilvl="8" w:tplc="08F299D0" w:tentative="1">
      <w:start w:val="1"/>
      <w:numFmt w:val="bullet"/>
      <w:lvlText w:val="o"/>
      <w:lvlJc w:val="left"/>
      <w:pPr>
        <w:tabs>
          <w:tab w:val="num" w:pos="6480"/>
        </w:tabs>
        <w:ind w:left="6480" w:hanging="360"/>
      </w:pPr>
      <w:rPr>
        <w:rFonts w:ascii="Courier New" w:hAnsi="Courier New" w:hint="default"/>
      </w:rPr>
    </w:lvl>
  </w:abstractNum>
  <w:abstractNum w:abstractNumId="11">
    <w:nsid w:val="3FC05BEA"/>
    <w:multiLevelType w:val="hybridMultilevel"/>
    <w:tmpl w:val="C34A61F2"/>
    <w:lvl w:ilvl="0" w:tplc="00D6616A">
      <w:start w:val="2"/>
      <w:numFmt w:val="decimal"/>
      <w:lvlText w:val="%1."/>
      <w:lvlJc w:val="left"/>
      <w:pPr>
        <w:tabs>
          <w:tab w:val="num" w:pos="720"/>
        </w:tabs>
        <w:ind w:left="720" w:hanging="360"/>
      </w:pPr>
    </w:lvl>
    <w:lvl w:ilvl="1" w:tplc="A1023824">
      <w:start w:val="4486"/>
      <w:numFmt w:val="bullet"/>
      <w:lvlText w:val="–"/>
      <w:lvlJc w:val="left"/>
      <w:pPr>
        <w:tabs>
          <w:tab w:val="num" w:pos="1440"/>
        </w:tabs>
        <w:ind w:left="1440" w:hanging="360"/>
      </w:pPr>
      <w:rPr>
        <w:rFonts w:ascii="Times New Roman" w:hAnsi="Times New Roman" w:hint="default"/>
      </w:rPr>
    </w:lvl>
    <w:lvl w:ilvl="2" w:tplc="14905750" w:tentative="1">
      <w:start w:val="1"/>
      <w:numFmt w:val="decimal"/>
      <w:lvlText w:val="%3."/>
      <w:lvlJc w:val="left"/>
      <w:pPr>
        <w:tabs>
          <w:tab w:val="num" w:pos="2160"/>
        </w:tabs>
        <w:ind w:left="2160" w:hanging="360"/>
      </w:pPr>
    </w:lvl>
    <w:lvl w:ilvl="3" w:tplc="01903652" w:tentative="1">
      <w:start w:val="1"/>
      <w:numFmt w:val="decimal"/>
      <w:lvlText w:val="%4."/>
      <w:lvlJc w:val="left"/>
      <w:pPr>
        <w:tabs>
          <w:tab w:val="num" w:pos="2880"/>
        </w:tabs>
        <w:ind w:left="2880" w:hanging="360"/>
      </w:pPr>
    </w:lvl>
    <w:lvl w:ilvl="4" w:tplc="4A5407EC" w:tentative="1">
      <w:start w:val="1"/>
      <w:numFmt w:val="decimal"/>
      <w:lvlText w:val="%5."/>
      <w:lvlJc w:val="left"/>
      <w:pPr>
        <w:tabs>
          <w:tab w:val="num" w:pos="3600"/>
        </w:tabs>
        <w:ind w:left="3600" w:hanging="360"/>
      </w:pPr>
    </w:lvl>
    <w:lvl w:ilvl="5" w:tplc="49FCACD8" w:tentative="1">
      <w:start w:val="1"/>
      <w:numFmt w:val="decimal"/>
      <w:lvlText w:val="%6."/>
      <w:lvlJc w:val="left"/>
      <w:pPr>
        <w:tabs>
          <w:tab w:val="num" w:pos="4320"/>
        </w:tabs>
        <w:ind w:left="4320" w:hanging="360"/>
      </w:pPr>
    </w:lvl>
    <w:lvl w:ilvl="6" w:tplc="641C07E6" w:tentative="1">
      <w:start w:val="1"/>
      <w:numFmt w:val="decimal"/>
      <w:lvlText w:val="%7."/>
      <w:lvlJc w:val="left"/>
      <w:pPr>
        <w:tabs>
          <w:tab w:val="num" w:pos="5040"/>
        </w:tabs>
        <w:ind w:left="5040" w:hanging="360"/>
      </w:pPr>
    </w:lvl>
    <w:lvl w:ilvl="7" w:tplc="4E3CE93A" w:tentative="1">
      <w:start w:val="1"/>
      <w:numFmt w:val="decimal"/>
      <w:lvlText w:val="%8."/>
      <w:lvlJc w:val="left"/>
      <w:pPr>
        <w:tabs>
          <w:tab w:val="num" w:pos="5760"/>
        </w:tabs>
        <w:ind w:left="5760" w:hanging="360"/>
      </w:pPr>
    </w:lvl>
    <w:lvl w:ilvl="8" w:tplc="0A50095C" w:tentative="1">
      <w:start w:val="1"/>
      <w:numFmt w:val="decimal"/>
      <w:lvlText w:val="%9."/>
      <w:lvlJc w:val="left"/>
      <w:pPr>
        <w:tabs>
          <w:tab w:val="num" w:pos="6480"/>
        </w:tabs>
        <w:ind w:left="6480" w:hanging="360"/>
      </w:pPr>
    </w:lvl>
  </w:abstractNum>
  <w:abstractNum w:abstractNumId="12">
    <w:nsid w:val="41AF1A25"/>
    <w:multiLevelType w:val="hybridMultilevel"/>
    <w:tmpl w:val="7D3A81E8"/>
    <w:lvl w:ilvl="0" w:tplc="07C673CA">
      <w:start w:val="1"/>
      <w:numFmt w:val="bullet"/>
      <w:lvlText w:val="o"/>
      <w:lvlJc w:val="left"/>
      <w:pPr>
        <w:tabs>
          <w:tab w:val="num" w:pos="360"/>
        </w:tabs>
        <w:ind w:left="360" w:hanging="360"/>
      </w:pPr>
      <w:rPr>
        <w:rFonts w:ascii="Courier New" w:hAnsi="Courier New" w:hint="default"/>
      </w:rPr>
    </w:lvl>
    <w:lvl w:ilvl="1" w:tplc="6A70B8A4">
      <w:start w:val="1"/>
      <w:numFmt w:val="decimal"/>
      <w:lvlText w:val="%2."/>
      <w:lvlJc w:val="left"/>
      <w:pPr>
        <w:tabs>
          <w:tab w:val="num" w:pos="1080"/>
        </w:tabs>
        <w:ind w:left="1080" w:hanging="360"/>
      </w:pPr>
    </w:lvl>
    <w:lvl w:ilvl="2" w:tplc="00EA4D3E" w:tentative="1">
      <w:start w:val="1"/>
      <w:numFmt w:val="bullet"/>
      <w:lvlText w:val="o"/>
      <w:lvlJc w:val="left"/>
      <w:pPr>
        <w:tabs>
          <w:tab w:val="num" w:pos="1800"/>
        </w:tabs>
        <w:ind w:left="1800" w:hanging="360"/>
      </w:pPr>
      <w:rPr>
        <w:rFonts w:ascii="Courier New" w:hAnsi="Courier New" w:hint="default"/>
      </w:rPr>
    </w:lvl>
    <w:lvl w:ilvl="3" w:tplc="C3CC1532" w:tentative="1">
      <w:start w:val="1"/>
      <w:numFmt w:val="bullet"/>
      <w:lvlText w:val="o"/>
      <w:lvlJc w:val="left"/>
      <w:pPr>
        <w:tabs>
          <w:tab w:val="num" w:pos="2520"/>
        </w:tabs>
        <w:ind w:left="2520" w:hanging="360"/>
      </w:pPr>
      <w:rPr>
        <w:rFonts w:ascii="Courier New" w:hAnsi="Courier New" w:hint="default"/>
      </w:rPr>
    </w:lvl>
    <w:lvl w:ilvl="4" w:tplc="7DDAAC94" w:tentative="1">
      <w:start w:val="1"/>
      <w:numFmt w:val="bullet"/>
      <w:lvlText w:val="o"/>
      <w:lvlJc w:val="left"/>
      <w:pPr>
        <w:tabs>
          <w:tab w:val="num" w:pos="3240"/>
        </w:tabs>
        <w:ind w:left="3240" w:hanging="360"/>
      </w:pPr>
      <w:rPr>
        <w:rFonts w:ascii="Courier New" w:hAnsi="Courier New" w:hint="default"/>
      </w:rPr>
    </w:lvl>
    <w:lvl w:ilvl="5" w:tplc="3E525012" w:tentative="1">
      <w:start w:val="1"/>
      <w:numFmt w:val="bullet"/>
      <w:lvlText w:val="o"/>
      <w:lvlJc w:val="left"/>
      <w:pPr>
        <w:tabs>
          <w:tab w:val="num" w:pos="3960"/>
        </w:tabs>
        <w:ind w:left="3960" w:hanging="360"/>
      </w:pPr>
      <w:rPr>
        <w:rFonts w:ascii="Courier New" w:hAnsi="Courier New" w:hint="default"/>
      </w:rPr>
    </w:lvl>
    <w:lvl w:ilvl="6" w:tplc="34EA85BC" w:tentative="1">
      <w:start w:val="1"/>
      <w:numFmt w:val="bullet"/>
      <w:lvlText w:val="o"/>
      <w:lvlJc w:val="left"/>
      <w:pPr>
        <w:tabs>
          <w:tab w:val="num" w:pos="4680"/>
        </w:tabs>
        <w:ind w:left="4680" w:hanging="360"/>
      </w:pPr>
      <w:rPr>
        <w:rFonts w:ascii="Courier New" w:hAnsi="Courier New" w:hint="default"/>
      </w:rPr>
    </w:lvl>
    <w:lvl w:ilvl="7" w:tplc="1E70175E" w:tentative="1">
      <w:start w:val="1"/>
      <w:numFmt w:val="bullet"/>
      <w:lvlText w:val="o"/>
      <w:lvlJc w:val="left"/>
      <w:pPr>
        <w:tabs>
          <w:tab w:val="num" w:pos="5400"/>
        </w:tabs>
        <w:ind w:left="5400" w:hanging="360"/>
      </w:pPr>
      <w:rPr>
        <w:rFonts w:ascii="Courier New" w:hAnsi="Courier New" w:hint="default"/>
      </w:rPr>
    </w:lvl>
    <w:lvl w:ilvl="8" w:tplc="B986C19A" w:tentative="1">
      <w:start w:val="1"/>
      <w:numFmt w:val="bullet"/>
      <w:lvlText w:val="o"/>
      <w:lvlJc w:val="left"/>
      <w:pPr>
        <w:tabs>
          <w:tab w:val="num" w:pos="6120"/>
        </w:tabs>
        <w:ind w:left="6120" w:hanging="360"/>
      </w:pPr>
      <w:rPr>
        <w:rFonts w:ascii="Courier New" w:hAnsi="Courier New" w:hint="default"/>
      </w:rPr>
    </w:lvl>
  </w:abstractNum>
  <w:abstractNum w:abstractNumId="13">
    <w:nsid w:val="42AD2AF0"/>
    <w:multiLevelType w:val="hybridMultilevel"/>
    <w:tmpl w:val="C42A234E"/>
    <w:lvl w:ilvl="0" w:tplc="CA7A39FE">
      <w:start w:val="1"/>
      <w:numFmt w:val="bullet"/>
      <w:lvlText w:val="o"/>
      <w:lvlJc w:val="left"/>
      <w:pPr>
        <w:tabs>
          <w:tab w:val="num" w:pos="720"/>
        </w:tabs>
        <w:ind w:left="720" w:hanging="360"/>
      </w:pPr>
      <w:rPr>
        <w:rFonts w:ascii="Courier New" w:hAnsi="Courier New" w:hint="default"/>
      </w:rPr>
    </w:lvl>
    <w:lvl w:ilvl="1" w:tplc="16FC2DC4" w:tentative="1">
      <w:start w:val="1"/>
      <w:numFmt w:val="bullet"/>
      <w:lvlText w:val="o"/>
      <w:lvlJc w:val="left"/>
      <w:pPr>
        <w:tabs>
          <w:tab w:val="num" w:pos="1440"/>
        </w:tabs>
        <w:ind w:left="1440" w:hanging="360"/>
      </w:pPr>
      <w:rPr>
        <w:rFonts w:ascii="Courier New" w:hAnsi="Courier New" w:hint="default"/>
      </w:rPr>
    </w:lvl>
    <w:lvl w:ilvl="2" w:tplc="1C9024A6" w:tentative="1">
      <w:start w:val="1"/>
      <w:numFmt w:val="bullet"/>
      <w:lvlText w:val="o"/>
      <w:lvlJc w:val="left"/>
      <w:pPr>
        <w:tabs>
          <w:tab w:val="num" w:pos="2160"/>
        </w:tabs>
        <w:ind w:left="2160" w:hanging="360"/>
      </w:pPr>
      <w:rPr>
        <w:rFonts w:ascii="Courier New" w:hAnsi="Courier New" w:hint="default"/>
      </w:rPr>
    </w:lvl>
    <w:lvl w:ilvl="3" w:tplc="56DCB2CA" w:tentative="1">
      <w:start w:val="1"/>
      <w:numFmt w:val="bullet"/>
      <w:lvlText w:val="o"/>
      <w:lvlJc w:val="left"/>
      <w:pPr>
        <w:tabs>
          <w:tab w:val="num" w:pos="2880"/>
        </w:tabs>
        <w:ind w:left="2880" w:hanging="360"/>
      </w:pPr>
      <w:rPr>
        <w:rFonts w:ascii="Courier New" w:hAnsi="Courier New" w:hint="default"/>
      </w:rPr>
    </w:lvl>
    <w:lvl w:ilvl="4" w:tplc="97369AF0" w:tentative="1">
      <w:start w:val="1"/>
      <w:numFmt w:val="bullet"/>
      <w:lvlText w:val="o"/>
      <w:lvlJc w:val="left"/>
      <w:pPr>
        <w:tabs>
          <w:tab w:val="num" w:pos="3600"/>
        </w:tabs>
        <w:ind w:left="3600" w:hanging="360"/>
      </w:pPr>
      <w:rPr>
        <w:rFonts w:ascii="Courier New" w:hAnsi="Courier New" w:hint="default"/>
      </w:rPr>
    </w:lvl>
    <w:lvl w:ilvl="5" w:tplc="60D8DB1A" w:tentative="1">
      <w:start w:val="1"/>
      <w:numFmt w:val="bullet"/>
      <w:lvlText w:val="o"/>
      <w:lvlJc w:val="left"/>
      <w:pPr>
        <w:tabs>
          <w:tab w:val="num" w:pos="4320"/>
        </w:tabs>
        <w:ind w:left="4320" w:hanging="360"/>
      </w:pPr>
      <w:rPr>
        <w:rFonts w:ascii="Courier New" w:hAnsi="Courier New" w:hint="default"/>
      </w:rPr>
    </w:lvl>
    <w:lvl w:ilvl="6" w:tplc="1278D3AA" w:tentative="1">
      <w:start w:val="1"/>
      <w:numFmt w:val="bullet"/>
      <w:lvlText w:val="o"/>
      <w:lvlJc w:val="left"/>
      <w:pPr>
        <w:tabs>
          <w:tab w:val="num" w:pos="5040"/>
        </w:tabs>
        <w:ind w:left="5040" w:hanging="360"/>
      </w:pPr>
      <w:rPr>
        <w:rFonts w:ascii="Courier New" w:hAnsi="Courier New" w:hint="default"/>
      </w:rPr>
    </w:lvl>
    <w:lvl w:ilvl="7" w:tplc="CA9C6494" w:tentative="1">
      <w:start w:val="1"/>
      <w:numFmt w:val="bullet"/>
      <w:lvlText w:val="o"/>
      <w:lvlJc w:val="left"/>
      <w:pPr>
        <w:tabs>
          <w:tab w:val="num" w:pos="5760"/>
        </w:tabs>
        <w:ind w:left="5760" w:hanging="360"/>
      </w:pPr>
      <w:rPr>
        <w:rFonts w:ascii="Courier New" w:hAnsi="Courier New" w:hint="default"/>
      </w:rPr>
    </w:lvl>
    <w:lvl w:ilvl="8" w:tplc="152822B8" w:tentative="1">
      <w:start w:val="1"/>
      <w:numFmt w:val="bullet"/>
      <w:lvlText w:val="o"/>
      <w:lvlJc w:val="left"/>
      <w:pPr>
        <w:tabs>
          <w:tab w:val="num" w:pos="6480"/>
        </w:tabs>
        <w:ind w:left="6480" w:hanging="360"/>
      </w:pPr>
      <w:rPr>
        <w:rFonts w:ascii="Courier New" w:hAnsi="Courier New" w:hint="default"/>
      </w:rPr>
    </w:lvl>
  </w:abstractNum>
  <w:abstractNum w:abstractNumId="14">
    <w:nsid w:val="44CF790B"/>
    <w:multiLevelType w:val="hybridMultilevel"/>
    <w:tmpl w:val="D004CFF2"/>
    <w:lvl w:ilvl="0" w:tplc="1E82DBB0">
      <w:start w:val="5"/>
      <w:numFmt w:val="decimal"/>
      <w:lvlText w:val="%1."/>
      <w:lvlJc w:val="left"/>
      <w:pPr>
        <w:tabs>
          <w:tab w:val="num" w:pos="720"/>
        </w:tabs>
        <w:ind w:left="720" w:hanging="360"/>
      </w:pPr>
    </w:lvl>
    <w:lvl w:ilvl="1" w:tplc="7E7E2244">
      <w:start w:val="4486"/>
      <w:numFmt w:val="bullet"/>
      <w:lvlText w:val="–"/>
      <w:lvlJc w:val="left"/>
      <w:pPr>
        <w:tabs>
          <w:tab w:val="num" w:pos="1440"/>
        </w:tabs>
        <w:ind w:left="1440" w:hanging="360"/>
      </w:pPr>
      <w:rPr>
        <w:rFonts w:ascii="Times New Roman" w:hAnsi="Times New Roman" w:hint="default"/>
      </w:rPr>
    </w:lvl>
    <w:lvl w:ilvl="2" w:tplc="FE662DD0" w:tentative="1">
      <w:start w:val="1"/>
      <w:numFmt w:val="decimal"/>
      <w:lvlText w:val="%3."/>
      <w:lvlJc w:val="left"/>
      <w:pPr>
        <w:tabs>
          <w:tab w:val="num" w:pos="2160"/>
        </w:tabs>
        <w:ind w:left="2160" w:hanging="360"/>
      </w:pPr>
    </w:lvl>
    <w:lvl w:ilvl="3" w:tplc="EB7C904C" w:tentative="1">
      <w:start w:val="1"/>
      <w:numFmt w:val="decimal"/>
      <w:lvlText w:val="%4."/>
      <w:lvlJc w:val="left"/>
      <w:pPr>
        <w:tabs>
          <w:tab w:val="num" w:pos="2880"/>
        </w:tabs>
        <w:ind w:left="2880" w:hanging="360"/>
      </w:pPr>
    </w:lvl>
    <w:lvl w:ilvl="4" w:tplc="4EFEB4FA" w:tentative="1">
      <w:start w:val="1"/>
      <w:numFmt w:val="decimal"/>
      <w:lvlText w:val="%5."/>
      <w:lvlJc w:val="left"/>
      <w:pPr>
        <w:tabs>
          <w:tab w:val="num" w:pos="3600"/>
        </w:tabs>
        <w:ind w:left="3600" w:hanging="360"/>
      </w:pPr>
    </w:lvl>
    <w:lvl w:ilvl="5" w:tplc="4AECD78E" w:tentative="1">
      <w:start w:val="1"/>
      <w:numFmt w:val="decimal"/>
      <w:lvlText w:val="%6."/>
      <w:lvlJc w:val="left"/>
      <w:pPr>
        <w:tabs>
          <w:tab w:val="num" w:pos="4320"/>
        </w:tabs>
        <w:ind w:left="4320" w:hanging="360"/>
      </w:pPr>
    </w:lvl>
    <w:lvl w:ilvl="6" w:tplc="DBD6350A" w:tentative="1">
      <w:start w:val="1"/>
      <w:numFmt w:val="decimal"/>
      <w:lvlText w:val="%7."/>
      <w:lvlJc w:val="left"/>
      <w:pPr>
        <w:tabs>
          <w:tab w:val="num" w:pos="5040"/>
        </w:tabs>
        <w:ind w:left="5040" w:hanging="360"/>
      </w:pPr>
    </w:lvl>
    <w:lvl w:ilvl="7" w:tplc="2208016C" w:tentative="1">
      <w:start w:val="1"/>
      <w:numFmt w:val="decimal"/>
      <w:lvlText w:val="%8."/>
      <w:lvlJc w:val="left"/>
      <w:pPr>
        <w:tabs>
          <w:tab w:val="num" w:pos="5760"/>
        </w:tabs>
        <w:ind w:left="5760" w:hanging="360"/>
      </w:pPr>
    </w:lvl>
    <w:lvl w:ilvl="8" w:tplc="FB4EAD4E" w:tentative="1">
      <w:start w:val="1"/>
      <w:numFmt w:val="decimal"/>
      <w:lvlText w:val="%9."/>
      <w:lvlJc w:val="left"/>
      <w:pPr>
        <w:tabs>
          <w:tab w:val="num" w:pos="6480"/>
        </w:tabs>
        <w:ind w:left="6480" w:hanging="360"/>
      </w:pPr>
    </w:lvl>
  </w:abstractNum>
  <w:abstractNum w:abstractNumId="15">
    <w:nsid w:val="592C230A"/>
    <w:multiLevelType w:val="hybridMultilevel"/>
    <w:tmpl w:val="F5D46B84"/>
    <w:lvl w:ilvl="0" w:tplc="44B8A834">
      <w:start w:val="1"/>
      <w:numFmt w:val="bullet"/>
      <w:lvlText w:val="o"/>
      <w:lvlJc w:val="left"/>
      <w:pPr>
        <w:tabs>
          <w:tab w:val="num" w:pos="360"/>
        </w:tabs>
        <w:ind w:left="360" w:hanging="360"/>
      </w:pPr>
      <w:rPr>
        <w:rFonts w:ascii="Courier New" w:hAnsi="Courier New" w:hint="default"/>
      </w:rPr>
    </w:lvl>
    <w:lvl w:ilvl="1" w:tplc="61D0F72A">
      <w:start w:val="1897"/>
      <w:numFmt w:val="bullet"/>
      <w:lvlText w:val="–"/>
      <w:lvlJc w:val="left"/>
      <w:pPr>
        <w:tabs>
          <w:tab w:val="num" w:pos="1080"/>
        </w:tabs>
        <w:ind w:left="1080" w:hanging="360"/>
      </w:pPr>
      <w:rPr>
        <w:rFonts w:ascii="Times New Roman" w:hAnsi="Times New Roman" w:hint="default"/>
      </w:rPr>
    </w:lvl>
    <w:lvl w:ilvl="2" w:tplc="9EA49F10" w:tentative="1">
      <w:start w:val="1"/>
      <w:numFmt w:val="bullet"/>
      <w:lvlText w:val="o"/>
      <w:lvlJc w:val="left"/>
      <w:pPr>
        <w:tabs>
          <w:tab w:val="num" w:pos="1800"/>
        </w:tabs>
        <w:ind w:left="1800" w:hanging="360"/>
      </w:pPr>
      <w:rPr>
        <w:rFonts w:ascii="Courier New" w:hAnsi="Courier New" w:hint="default"/>
      </w:rPr>
    </w:lvl>
    <w:lvl w:ilvl="3" w:tplc="C56EB950" w:tentative="1">
      <w:start w:val="1"/>
      <w:numFmt w:val="bullet"/>
      <w:lvlText w:val="o"/>
      <w:lvlJc w:val="left"/>
      <w:pPr>
        <w:tabs>
          <w:tab w:val="num" w:pos="2520"/>
        </w:tabs>
        <w:ind w:left="2520" w:hanging="360"/>
      </w:pPr>
      <w:rPr>
        <w:rFonts w:ascii="Courier New" w:hAnsi="Courier New" w:hint="default"/>
      </w:rPr>
    </w:lvl>
    <w:lvl w:ilvl="4" w:tplc="A6DA7EE4" w:tentative="1">
      <w:start w:val="1"/>
      <w:numFmt w:val="bullet"/>
      <w:lvlText w:val="o"/>
      <w:lvlJc w:val="left"/>
      <w:pPr>
        <w:tabs>
          <w:tab w:val="num" w:pos="3240"/>
        </w:tabs>
        <w:ind w:left="3240" w:hanging="360"/>
      </w:pPr>
      <w:rPr>
        <w:rFonts w:ascii="Courier New" w:hAnsi="Courier New" w:hint="default"/>
      </w:rPr>
    </w:lvl>
    <w:lvl w:ilvl="5" w:tplc="51F6A356" w:tentative="1">
      <w:start w:val="1"/>
      <w:numFmt w:val="bullet"/>
      <w:lvlText w:val="o"/>
      <w:lvlJc w:val="left"/>
      <w:pPr>
        <w:tabs>
          <w:tab w:val="num" w:pos="3960"/>
        </w:tabs>
        <w:ind w:left="3960" w:hanging="360"/>
      </w:pPr>
      <w:rPr>
        <w:rFonts w:ascii="Courier New" w:hAnsi="Courier New" w:hint="default"/>
      </w:rPr>
    </w:lvl>
    <w:lvl w:ilvl="6" w:tplc="9704F00C" w:tentative="1">
      <w:start w:val="1"/>
      <w:numFmt w:val="bullet"/>
      <w:lvlText w:val="o"/>
      <w:lvlJc w:val="left"/>
      <w:pPr>
        <w:tabs>
          <w:tab w:val="num" w:pos="4680"/>
        </w:tabs>
        <w:ind w:left="4680" w:hanging="360"/>
      </w:pPr>
      <w:rPr>
        <w:rFonts w:ascii="Courier New" w:hAnsi="Courier New" w:hint="default"/>
      </w:rPr>
    </w:lvl>
    <w:lvl w:ilvl="7" w:tplc="97CABE6E" w:tentative="1">
      <w:start w:val="1"/>
      <w:numFmt w:val="bullet"/>
      <w:lvlText w:val="o"/>
      <w:lvlJc w:val="left"/>
      <w:pPr>
        <w:tabs>
          <w:tab w:val="num" w:pos="5400"/>
        </w:tabs>
        <w:ind w:left="5400" w:hanging="360"/>
      </w:pPr>
      <w:rPr>
        <w:rFonts w:ascii="Courier New" w:hAnsi="Courier New" w:hint="default"/>
      </w:rPr>
    </w:lvl>
    <w:lvl w:ilvl="8" w:tplc="2A6481B8" w:tentative="1">
      <w:start w:val="1"/>
      <w:numFmt w:val="bullet"/>
      <w:lvlText w:val="o"/>
      <w:lvlJc w:val="left"/>
      <w:pPr>
        <w:tabs>
          <w:tab w:val="num" w:pos="6120"/>
        </w:tabs>
        <w:ind w:left="6120" w:hanging="360"/>
      </w:pPr>
      <w:rPr>
        <w:rFonts w:ascii="Courier New" w:hAnsi="Courier New" w:hint="default"/>
      </w:rPr>
    </w:lvl>
  </w:abstractNum>
  <w:abstractNum w:abstractNumId="16">
    <w:nsid w:val="610B362F"/>
    <w:multiLevelType w:val="hybridMultilevel"/>
    <w:tmpl w:val="7F3CB6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9311E4"/>
    <w:multiLevelType w:val="hybridMultilevel"/>
    <w:tmpl w:val="F7262306"/>
    <w:lvl w:ilvl="0" w:tplc="0FE665E0">
      <w:start w:val="5"/>
      <w:numFmt w:val="decimal"/>
      <w:lvlText w:val="%1."/>
      <w:lvlJc w:val="left"/>
      <w:pPr>
        <w:tabs>
          <w:tab w:val="num" w:pos="720"/>
        </w:tabs>
        <w:ind w:left="720" w:hanging="360"/>
      </w:pPr>
    </w:lvl>
    <w:lvl w:ilvl="1" w:tplc="B67664C6">
      <w:start w:val="4174"/>
      <w:numFmt w:val="bullet"/>
      <w:lvlText w:val="–"/>
      <w:lvlJc w:val="left"/>
      <w:pPr>
        <w:tabs>
          <w:tab w:val="num" w:pos="1440"/>
        </w:tabs>
        <w:ind w:left="1440" w:hanging="360"/>
      </w:pPr>
      <w:rPr>
        <w:rFonts w:ascii="Times New Roman" w:hAnsi="Times New Roman" w:hint="default"/>
      </w:rPr>
    </w:lvl>
    <w:lvl w:ilvl="2" w:tplc="7874573C">
      <w:start w:val="4174"/>
      <w:numFmt w:val="bullet"/>
      <w:lvlText w:val=""/>
      <w:lvlJc w:val="left"/>
      <w:pPr>
        <w:tabs>
          <w:tab w:val="num" w:pos="2160"/>
        </w:tabs>
        <w:ind w:left="2160" w:hanging="360"/>
      </w:pPr>
      <w:rPr>
        <w:rFonts w:ascii="Wingdings" w:hAnsi="Wingdings" w:hint="default"/>
      </w:rPr>
    </w:lvl>
    <w:lvl w:ilvl="3" w:tplc="FAE483E8" w:tentative="1">
      <w:start w:val="1"/>
      <w:numFmt w:val="decimal"/>
      <w:lvlText w:val="%4."/>
      <w:lvlJc w:val="left"/>
      <w:pPr>
        <w:tabs>
          <w:tab w:val="num" w:pos="2880"/>
        </w:tabs>
        <w:ind w:left="2880" w:hanging="360"/>
      </w:pPr>
    </w:lvl>
    <w:lvl w:ilvl="4" w:tplc="C7F8FD28" w:tentative="1">
      <w:start w:val="1"/>
      <w:numFmt w:val="decimal"/>
      <w:lvlText w:val="%5."/>
      <w:lvlJc w:val="left"/>
      <w:pPr>
        <w:tabs>
          <w:tab w:val="num" w:pos="3600"/>
        </w:tabs>
        <w:ind w:left="3600" w:hanging="360"/>
      </w:pPr>
    </w:lvl>
    <w:lvl w:ilvl="5" w:tplc="6990319C" w:tentative="1">
      <w:start w:val="1"/>
      <w:numFmt w:val="decimal"/>
      <w:lvlText w:val="%6."/>
      <w:lvlJc w:val="left"/>
      <w:pPr>
        <w:tabs>
          <w:tab w:val="num" w:pos="4320"/>
        </w:tabs>
        <w:ind w:left="4320" w:hanging="360"/>
      </w:pPr>
    </w:lvl>
    <w:lvl w:ilvl="6" w:tplc="97982BD8" w:tentative="1">
      <w:start w:val="1"/>
      <w:numFmt w:val="decimal"/>
      <w:lvlText w:val="%7."/>
      <w:lvlJc w:val="left"/>
      <w:pPr>
        <w:tabs>
          <w:tab w:val="num" w:pos="5040"/>
        </w:tabs>
        <w:ind w:left="5040" w:hanging="360"/>
      </w:pPr>
    </w:lvl>
    <w:lvl w:ilvl="7" w:tplc="73645E04" w:tentative="1">
      <w:start w:val="1"/>
      <w:numFmt w:val="decimal"/>
      <w:lvlText w:val="%8."/>
      <w:lvlJc w:val="left"/>
      <w:pPr>
        <w:tabs>
          <w:tab w:val="num" w:pos="5760"/>
        </w:tabs>
        <w:ind w:left="5760" w:hanging="360"/>
      </w:pPr>
    </w:lvl>
    <w:lvl w:ilvl="8" w:tplc="4796CE46" w:tentative="1">
      <w:start w:val="1"/>
      <w:numFmt w:val="decimal"/>
      <w:lvlText w:val="%9."/>
      <w:lvlJc w:val="left"/>
      <w:pPr>
        <w:tabs>
          <w:tab w:val="num" w:pos="6480"/>
        </w:tabs>
        <w:ind w:left="6480" w:hanging="360"/>
      </w:pPr>
    </w:lvl>
  </w:abstractNum>
  <w:abstractNum w:abstractNumId="18">
    <w:nsid w:val="687F2F02"/>
    <w:multiLevelType w:val="hybridMultilevel"/>
    <w:tmpl w:val="273C8FF6"/>
    <w:lvl w:ilvl="0" w:tplc="4BE4C092">
      <w:start w:val="1"/>
      <w:numFmt w:val="bullet"/>
      <w:lvlText w:val="o"/>
      <w:lvlJc w:val="left"/>
      <w:pPr>
        <w:tabs>
          <w:tab w:val="num" w:pos="360"/>
        </w:tabs>
        <w:ind w:left="360" w:hanging="360"/>
      </w:pPr>
      <w:rPr>
        <w:rFonts w:ascii="Courier New" w:hAnsi="Courier New" w:hint="default"/>
      </w:rPr>
    </w:lvl>
    <w:lvl w:ilvl="1" w:tplc="452AA9B4">
      <w:start w:val="4524"/>
      <w:numFmt w:val="bullet"/>
      <w:lvlText w:val="–"/>
      <w:lvlJc w:val="left"/>
      <w:pPr>
        <w:tabs>
          <w:tab w:val="num" w:pos="1080"/>
        </w:tabs>
        <w:ind w:left="1080" w:hanging="360"/>
      </w:pPr>
      <w:rPr>
        <w:rFonts w:ascii="Times New Roman" w:hAnsi="Times New Roman" w:hint="default"/>
      </w:rPr>
    </w:lvl>
    <w:lvl w:ilvl="2" w:tplc="FF8E71A6" w:tentative="1">
      <w:start w:val="1"/>
      <w:numFmt w:val="bullet"/>
      <w:lvlText w:val="o"/>
      <w:lvlJc w:val="left"/>
      <w:pPr>
        <w:tabs>
          <w:tab w:val="num" w:pos="1800"/>
        </w:tabs>
        <w:ind w:left="1800" w:hanging="360"/>
      </w:pPr>
      <w:rPr>
        <w:rFonts w:ascii="Courier New" w:hAnsi="Courier New" w:hint="default"/>
      </w:rPr>
    </w:lvl>
    <w:lvl w:ilvl="3" w:tplc="7040DEC0" w:tentative="1">
      <w:start w:val="1"/>
      <w:numFmt w:val="bullet"/>
      <w:lvlText w:val="o"/>
      <w:lvlJc w:val="left"/>
      <w:pPr>
        <w:tabs>
          <w:tab w:val="num" w:pos="2520"/>
        </w:tabs>
        <w:ind w:left="2520" w:hanging="360"/>
      </w:pPr>
      <w:rPr>
        <w:rFonts w:ascii="Courier New" w:hAnsi="Courier New" w:hint="default"/>
      </w:rPr>
    </w:lvl>
    <w:lvl w:ilvl="4" w:tplc="175ED618" w:tentative="1">
      <w:start w:val="1"/>
      <w:numFmt w:val="bullet"/>
      <w:lvlText w:val="o"/>
      <w:lvlJc w:val="left"/>
      <w:pPr>
        <w:tabs>
          <w:tab w:val="num" w:pos="3240"/>
        </w:tabs>
        <w:ind w:left="3240" w:hanging="360"/>
      </w:pPr>
      <w:rPr>
        <w:rFonts w:ascii="Courier New" w:hAnsi="Courier New" w:hint="default"/>
      </w:rPr>
    </w:lvl>
    <w:lvl w:ilvl="5" w:tplc="D0EC84B8" w:tentative="1">
      <w:start w:val="1"/>
      <w:numFmt w:val="bullet"/>
      <w:lvlText w:val="o"/>
      <w:lvlJc w:val="left"/>
      <w:pPr>
        <w:tabs>
          <w:tab w:val="num" w:pos="3960"/>
        </w:tabs>
        <w:ind w:left="3960" w:hanging="360"/>
      </w:pPr>
      <w:rPr>
        <w:rFonts w:ascii="Courier New" w:hAnsi="Courier New" w:hint="default"/>
      </w:rPr>
    </w:lvl>
    <w:lvl w:ilvl="6" w:tplc="FADEA51E" w:tentative="1">
      <w:start w:val="1"/>
      <w:numFmt w:val="bullet"/>
      <w:lvlText w:val="o"/>
      <w:lvlJc w:val="left"/>
      <w:pPr>
        <w:tabs>
          <w:tab w:val="num" w:pos="4680"/>
        </w:tabs>
        <w:ind w:left="4680" w:hanging="360"/>
      </w:pPr>
      <w:rPr>
        <w:rFonts w:ascii="Courier New" w:hAnsi="Courier New" w:hint="default"/>
      </w:rPr>
    </w:lvl>
    <w:lvl w:ilvl="7" w:tplc="F38E5554" w:tentative="1">
      <w:start w:val="1"/>
      <w:numFmt w:val="bullet"/>
      <w:lvlText w:val="o"/>
      <w:lvlJc w:val="left"/>
      <w:pPr>
        <w:tabs>
          <w:tab w:val="num" w:pos="5400"/>
        </w:tabs>
        <w:ind w:left="5400" w:hanging="360"/>
      </w:pPr>
      <w:rPr>
        <w:rFonts w:ascii="Courier New" w:hAnsi="Courier New" w:hint="default"/>
      </w:rPr>
    </w:lvl>
    <w:lvl w:ilvl="8" w:tplc="DFC06142" w:tentative="1">
      <w:start w:val="1"/>
      <w:numFmt w:val="bullet"/>
      <w:lvlText w:val="o"/>
      <w:lvlJc w:val="left"/>
      <w:pPr>
        <w:tabs>
          <w:tab w:val="num" w:pos="6120"/>
        </w:tabs>
        <w:ind w:left="6120" w:hanging="360"/>
      </w:pPr>
      <w:rPr>
        <w:rFonts w:ascii="Courier New" w:hAnsi="Courier New" w:hint="default"/>
      </w:rPr>
    </w:lvl>
  </w:abstractNum>
  <w:abstractNum w:abstractNumId="19">
    <w:nsid w:val="73D22333"/>
    <w:multiLevelType w:val="hybridMultilevel"/>
    <w:tmpl w:val="15C6CABC"/>
    <w:lvl w:ilvl="0" w:tplc="3B520BDC">
      <w:start w:val="1"/>
      <w:numFmt w:val="bullet"/>
      <w:lvlText w:val="o"/>
      <w:lvlJc w:val="left"/>
      <w:pPr>
        <w:tabs>
          <w:tab w:val="num" w:pos="360"/>
        </w:tabs>
        <w:ind w:left="360" w:hanging="360"/>
      </w:pPr>
      <w:rPr>
        <w:rFonts w:ascii="Courier New" w:hAnsi="Courier New" w:hint="default"/>
      </w:rPr>
    </w:lvl>
    <w:lvl w:ilvl="1" w:tplc="5BDA38B2">
      <w:start w:val="4486"/>
      <w:numFmt w:val="bullet"/>
      <w:lvlText w:val="–"/>
      <w:lvlJc w:val="left"/>
      <w:pPr>
        <w:tabs>
          <w:tab w:val="num" w:pos="1080"/>
        </w:tabs>
        <w:ind w:left="1080" w:hanging="360"/>
      </w:pPr>
      <w:rPr>
        <w:rFonts w:ascii="Times New Roman" w:hAnsi="Times New Roman" w:hint="default"/>
      </w:rPr>
    </w:lvl>
    <w:lvl w:ilvl="2" w:tplc="7D5E23CC" w:tentative="1">
      <w:start w:val="1"/>
      <w:numFmt w:val="bullet"/>
      <w:lvlText w:val="o"/>
      <w:lvlJc w:val="left"/>
      <w:pPr>
        <w:tabs>
          <w:tab w:val="num" w:pos="1800"/>
        </w:tabs>
        <w:ind w:left="1800" w:hanging="360"/>
      </w:pPr>
      <w:rPr>
        <w:rFonts w:ascii="Courier New" w:hAnsi="Courier New" w:hint="default"/>
      </w:rPr>
    </w:lvl>
    <w:lvl w:ilvl="3" w:tplc="939C5976" w:tentative="1">
      <w:start w:val="1"/>
      <w:numFmt w:val="bullet"/>
      <w:lvlText w:val="o"/>
      <w:lvlJc w:val="left"/>
      <w:pPr>
        <w:tabs>
          <w:tab w:val="num" w:pos="2520"/>
        </w:tabs>
        <w:ind w:left="2520" w:hanging="360"/>
      </w:pPr>
      <w:rPr>
        <w:rFonts w:ascii="Courier New" w:hAnsi="Courier New" w:hint="default"/>
      </w:rPr>
    </w:lvl>
    <w:lvl w:ilvl="4" w:tplc="84E01D0A" w:tentative="1">
      <w:start w:val="1"/>
      <w:numFmt w:val="bullet"/>
      <w:lvlText w:val="o"/>
      <w:lvlJc w:val="left"/>
      <w:pPr>
        <w:tabs>
          <w:tab w:val="num" w:pos="3240"/>
        </w:tabs>
        <w:ind w:left="3240" w:hanging="360"/>
      </w:pPr>
      <w:rPr>
        <w:rFonts w:ascii="Courier New" w:hAnsi="Courier New" w:hint="default"/>
      </w:rPr>
    </w:lvl>
    <w:lvl w:ilvl="5" w:tplc="57AAA6B8" w:tentative="1">
      <w:start w:val="1"/>
      <w:numFmt w:val="bullet"/>
      <w:lvlText w:val="o"/>
      <w:lvlJc w:val="left"/>
      <w:pPr>
        <w:tabs>
          <w:tab w:val="num" w:pos="3960"/>
        </w:tabs>
        <w:ind w:left="3960" w:hanging="360"/>
      </w:pPr>
      <w:rPr>
        <w:rFonts w:ascii="Courier New" w:hAnsi="Courier New" w:hint="default"/>
      </w:rPr>
    </w:lvl>
    <w:lvl w:ilvl="6" w:tplc="81FC2944" w:tentative="1">
      <w:start w:val="1"/>
      <w:numFmt w:val="bullet"/>
      <w:lvlText w:val="o"/>
      <w:lvlJc w:val="left"/>
      <w:pPr>
        <w:tabs>
          <w:tab w:val="num" w:pos="4680"/>
        </w:tabs>
        <w:ind w:left="4680" w:hanging="360"/>
      </w:pPr>
      <w:rPr>
        <w:rFonts w:ascii="Courier New" w:hAnsi="Courier New" w:hint="default"/>
      </w:rPr>
    </w:lvl>
    <w:lvl w:ilvl="7" w:tplc="A372D81C" w:tentative="1">
      <w:start w:val="1"/>
      <w:numFmt w:val="bullet"/>
      <w:lvlText w:val="o"/>
      <w:lvlJc w:val="left"/>
      <w:pPr>
        <w:tabs>
          <w:tab w:val="num" w:pos="5400"/>
        </w:tabs>
        <w:ind w:left="5400" w:hanging="360"/>
      </w:pPr>
      <w:rPr>
        <w:rFonts w:ascii="Courier New" w:hAnsi="Courier New" w:hint="default"/>
      </w:rPr>
    </w:lvl>
    <w:lvl w:ilvl="8" w:tplc="513009B6" w:tentative="1">
      <w:start w:val="1"/>
      <w:numFmt w:val="bullet"/>
      <w:lvlText w:val="o"/>
      <w:lvlJc w:val="left"/>
      <w:pPr>
        <w:tabs>
          <w:tab w:val="num" w:pos="6120"/>
        </w:tabs>
        <w:ind w:left="6120" w:hanging="360"/>
      </w:pPr>
      <w:rPr>
        <w:rFonts w:ascii="Courier New" w:hAnsi="Courier New" w:hint="default"/>
      </w:rPr>
    </w:lvl>
  </w:abstractNum>
  <w:num w:numId="1">
    <w:abstractNumId w:val="15"/>
  </w:num>
  <w:num w:numId="2">
    <w:abstractNumId w:val="2"/>
  </w:num>
  <w:num w:numId="3">
    <w:abstractNumId w:val="12"/>
  </w:num>
  <w:num w:numId="4">
    <w:abstractNumId w:val="10"/>
  </w:num>
  <w:num w:numId="5">
    <w:abstractNumId w:val="16"/>
  </w:num>
  <w:num w:numId="6">
    <w:abstractNumId w:val="1"/>
  </w:num>
  <w:num w:numId="7">
    <w:abstractNumId w:val="5"/>
  </w:num>
  <w:num w:numId="8">
    <w:abstractNumId w:val="7"/>
  </w:num>
  <w:num w:numId="9">
    <w:abstractNumId w:val="0"/>
  </w:num>
  <w:num w:numId="10">
    <w:abstractNumId w:val="3"/>
  </w:num>
  <w:num w:numId="11">
    <w:abstractNumId w:val="13"/>
  </w:num>
  <w:num w:numId="12">
    <w:abstractNumId w:val="18"/>
  </w:num>
  <w:num w:numId="13">
    <w:abstractNumId w:val="19"/>
  </w:num>
  <w:num w:numId="14">
    <w:abstractNumId w:val="9"/>
  </w:num>
  <w:num w:numId="15">
    <w:abstractNumId w:val="11"/>
  </w:num>
  <w:num w:numId="16">
    <w:abstractNumId w:val="14"/>
  </w:num>
  <w:num w:numId="17">
    <w:abstractNumId w:val="17"/>
  </w:num>
  <w:num w:numId="18">
    <w:abstractNumId w:val="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5CF4"/>
    <w:rsid w:val="000005C4"/>
    <w:rsid w:val="000007C1"/>
    <w:rsid w:val="00001516"/>
    <w:rsid w:val="0000243A"/>
    <w:rsid w:val="00002E64"/>
    <w:rsid w:val="0000474F"/>
    <w:rsid w:val="00004F50"/>
    <w:rsid w:val="000056C7"/>
    <w:rsid w:val="00005B25"/>
    <w:rsid w:val="00005D49"/>
    <w:rsid w:val="00005D75"/>
    <w:rsid w:val="00005E9C"/>
    <w:rsid w:val="000060EE"/>
    <w:rsid w:val="00006BAF"/>
    <w:rsid w:val="00006FB3"/>
    <w:rsid w:val="0000751C"/>
    <w:rsid w:val="00007835"/>
    <w:rsid w:val="000078E1"/>
    <w:rsid w:val="000102E0"/>
    <w:rsid w:val="00010B4B"/>
    <w:rsid w:val="00010BC4"/>
    <w:rsid w:val="00010C65"/>
    <w:rsid w:val="00010CA0"/>
    <w:rsid w:val="0001113C"/>
    <w:rsid w:val="00011618"/>
    <w:rsid w:val="000130D6"/>
    <w:rsid w:val="00013E23"/>
    <w:rsid w:val="0001404C"/>
    <w:rsid w:val="00014119"/>
    <w:rsid w:val="000145C0"/>
    <w:rsid w:val="000147E5"/>
    <w:rsid w:val="0001723E"/>
    <w:rsid w:val="00017D3B"/>
    <w:rsid w:val="00020165"/>
    <w:rsid w:val="00020799"/>
    <w:rsid w:val="00020E54"/>
    <w:rsid w:val="0002104E"/>
    <w:rsid w:val="00021C32"/>
    <w:rsid w:val="00021D90"/>
    <w:rsid w:val="000221F1"/>
    <w:rsid w:val="0002313E"/>
    <w:rsid w:val="0002324A"/>
    <w:rsid w:val="00023588"/>
    <w:rsid w:val="00023864"/>
    <w:rsid w:val="000239CC"/>
    <w:rsid w:val="000246EE"/>
    <w:rsid w:val="00024E6E"/>
    <w:rsid w:val="00025304"/>
    <w:rsid w:val="00025798"/>
    <w:rsid w:val="00025A54"/>
    <w:rsid w:val="00025BD2"/>
    <w:rsid w:val="00026B89"/>
    <w:rsid w:val="0002760F"/>
    <w:rsid w:val="00027C1C"/>
    <w:rsid w:val="00030122"/>
    <w:rsid w:val="000307FB"/>
    <w:rsid w:val="00030FA3"/>
    <w:rsid w:val="00031600"/>
    <w:rsid w:val="0003194B"/>
    <w:rsid w:val="000326EB"/>
    <w:rsid w:val="00032D04"/>
    <w:rsid w:val="00032ED7"/>
    <w:rsid w:val="000344DF"/>
    <w:rsid w:val="0003472C"/>
    <w:rsid w:val="000348D9"/>
    <w:rsid w:val="00035324"/>
    <w:rsid w:val="0003545E"/>
    <w:rsid w:val="000354B7"/>
    <w:rsid w:val="00036828"/>
    <w:rsid w:val="00036BF0"/>
    <w:rsid w:val="0003762E"/>
    <w:rsid w:val="000410D8"/>
    <w:rsid w:val="00042009"/>
    <w:rsid w:val="0004253F"/>
    <w:rsid w:val="000428DD"/>
    <w:rsid w:val="0004390B"/>
    <w:rsid w:val="00043A89"/>
    <w:rsid w:val="00043EF8"/>
    <w:rsid w:val="0004460D"/>
    <w:rsid w:val="00044A76"/>
    <w:rsid w:val="00044F42"/>
    <w:rsid w:val="00045473"/>
    <w:rsid w:val="00045FFF"/>
    <w:rsid w:val="000468AB"/>
    <w:rsid w:val="00047828"/>
    <w:rsid w:val="000500FC"/>
    <w:rsid w:val="00050213"/>
    <w:rsid w:val="000502AC"/>
    <w:rsid w:val="00050B8C"/>
    <w:rsid w:val="00050B9E"/>
    <w:rsid w:val="00052139"/>
    <w:rsid w:val="000537AE"/>
    <w:rsid w:val="000537CA"/>
    <w:rsid w:val="00053D13"/>
    <w:rsid w:val="0005453B"/>
    <w:rsid w:val="00054A92"/>
    <w:rsid w:val="00056588"/>
    <w:rsid w:val="00056E1B"/>
    <w:rsid w:val="0005790F"/>
    <w:rsid w:val="00057AC0"/>
    <w:rsid w:val="00057CB9"/>
    <w:rsid w:val="00057F42"/>
    <w:rsid w:val="0006007C"/>
    <w:rsid w:val="00060450"/>
    <w:rsid w:val="00060846"/>
    <w:rsid w:val="000613FB"/>
    <w:rsid w:val="0006157B"/>
    <w:rsid w:val="000619B0"/>
    <w:rsid w:val="00061DF0"/>
    <w:rsid w:val="0006285F"/>
    <w:rsid w:val="0006286B"/>
    <w:rsid w:val="00062A46"/>
    <w:rsid w:val="00062DE5"/>
    <w:rsid w:val="00062E62"/>
    <w:rsid w:val="00062F85"/>
    <w:rsid w:val="0006339F"/>
    <w:rsid w:val="0006348D"/>
    <w:rsid w:val="00063D47"/>
    <w:rsid w:val="00065073"/>
    <w:rsid w:val="00065BBE"/>
    <w:rsid w:val="000665A1"/>
    <w:rsid w:val="00066895"/>
    <w:rsid w:val="00066A7A"/>
    <w:rsid w:val="00066E74"/>
    <w:rsid w:val="00067441"/>
    <w:rsid w:val="00067E05"/>
    <w:rsid w:val="00067F1B"/>
    <w:rsid w:val="00070A42"/>
    <w:rsid w:val="00070DBE"/>
    <w:rsid w:val="00071545"/>
    <w:rsid w:val="0007160A"/>
    <w:rsid w:val="00071F5D"/>
    <w:rsid w:val="00072BB5"/>
    <w:rsid w:val="00073EB1"/>
    <w:rsid w:val="00074134"/>
    <w:rsid w:val="0007490D"/>
    <w:rsid w:val="00075497"/>
    <w:rsid w:val="00075570"/>
    <w:rsid w:val="0007561C"/>
    <w:rsid w:val="0007563C"/>
    <w:rsid w:val="000766C7"/>
    <w:rsid w:val="00076718"/>
    <w:rsid w:val="000767DE"/>
    <w:rsid w:val="00076B70"/>
    <w:rsid w:val="00076CF9"/>
    <w:rsid w:val="0007750F"/>
    <w:rsid w:val="00081218"/>
    <w:rsid w:val="000829FE"/>
    <w:rsid w:val="000839B0"/>
    <w:rsid w:val="0008419F"/>
    <w:rsid w:val="000869F0"/>
    <w:rsid w:val="00086BDC"/>
    <w:rsid w:val="000873B4"/>
    <w:rsid w:val="00087BAD"/>
    <w:rsid w:val="00090BF8"/>
    <w:rsid w:val="00090DF7"/>
    <w:rsid w:val="00090F1D"/>
    <w:rsid w:val="00090FEB"/>
    <w:rsid w:val="0009140C"/>
    <w:rsid w:val="00091DC2"/>
    <w:rsid w:val="00091F4C"/>
    <w:rsid w:val="00092600"/>
    <w:rsid w:val="000928A2"/>
    <w:rsid w:val="00092C41"/>
    <w:rsid w:val="0009324D"/>
    <w:rsid w:val="000948FA"/>
    <w:rsid w:val="00094C48"/>
    <w:rsid w:val="00095587"/>
    <w:rsid w:val="00095A2A"/>
    <w:rsid w:val="00095BB1"/>
    <w:rsid w:val="0009627D"/>
    <w:rsid w:val="00096426"/>
    <w:rsid w:val="00096A07"/>
    <w:rsid w:val="00096F1F"/>
    <w:rsid w:val="00097315"/>
    <w:rsid w:val="00097472"/>
    <w:rsid w:val="000A00B3"/>
    <w:rsid w:val="000A0FE7"/>
    <w:rsid w:val="000A10E5"/>
    <w:rsid w:val="000A174D"/>
    <w:rsid w:val="000A1CE9"/>
    <w:rsid w:val="000A1D43"/>
    <w:rsid w:val="000A20A7"/>
    <w:rsid w:val="000A2B54"/>
    <w:rsid w:val="000A3820"/>
    <w:rsid w:val="000A4261"/>
    <w:rsid w:val="000A5634"/>
    <w:rsid w:val="000A59AC"/>
    <w:rsid w:val="000A6368"/>
    <w:rsid w:val="000A679D"/>
    <w:rsid w:val="000A6ACF"/>
    <w:rsid w:val="000A6E69"/>
    <w:rsid w:val="000A7706"/>
    <w:rsid w:val="000B093A"/>
    <w:rsid w:val="000B1C63"/>
    <w:rsid w:val="000B2C79"/>
    <w:rsid w:val="000B35AC"/>
    <w:rsid w:val="000B36B2"/>
    <w:rsid w:val="000B395D"/>
    <w:rsid w:val="000B3EEC"/>
    <w:rsid w:val="000B46AE"/>
    <w:rsid w:val="000B4FB0"/>
    <w:rsid w:val="000B6146"/>
    <w:rsid w:val="000B6229"/>
    <w:rsid w:val="000B6655"/>
    <w:rsid w:val="000B66F8"/>
    <w:rsid w:val="000B6743"/>
    <w:rsid w:val="000B7337"/>
    <w:rsid w:val="000B768D"/>
    <w:rsid w:val="000B7ACA"/>
    <w:rsid w:val="000B7E6E"/>
    <w:rsid w:val="000C0126"/>
    <w:rsid w:val="000C162A"/>
    <w:rsid w:val="000C1ABB"/>
    <w:rsid w:val="000C1DE6"/>
    <w:rsid w:val="000C2213"/>
    <w:rsid w:val="000C2366"/>
    <w:rsid w:val="000C33FD"/>
    <w:rsid w:val="000C365B"/>
    <w:rsid w:val="000C3C9B"/>
    <w:rsid w:val="000C4289"/>
    <w:rsid w:val="000C480F"/>
    <w:rsid w:val="000C4CA6"/>
    <w:rsid w:val="000C520B"/>
    <w:rsid w:val="000C561D"/>
    <w:rsid w:val="000C5E90"/>
    <w:rsid w:val="000C7289"/>
    <w:rsid w:val="000C78BF"/>
    <w:rsid w:val="000C7DB9"/>
    <w:rsid w:val="000D1119"/>
    <w:rsid w:val="000D3F59"/>
    <w:rsid w:val="000D40C0"/>
    <w:rsid w:val="000D41FD"/>
    <w:rsid w:val="000D4604"/>
    <w:rsid w:val="000D6ADC"/>
    <w:rsid w:val="000D74DA"/>
    <w:rsid w:val="000E0EA0"/>
    <w:rsid w:val="000E17E8"/>
    <w:rsid w:val="000E21FA"/>
    <w:rsid w:val="000E2CC8"/>
    <w:rsid w:val="000E2CD7"/>
    <w:rsid w:val="000E2E82"/>
    <w:rsid w:val="000E3697"/>
    <w:rsid w:val="000E39BE"/>
    <w:rsid w:val="000E39C9"/>
    <w:rsid w:val="000E3CA0"/>
    <w:rsid w:val="000E59CD"/>
    <w:rsid w:val="000E5DAE"/>
    <w:rsid w:val="000E664A"/>
    <w:rsid w:val="000E7BB2"/>
    <w:rsid w:val="000F02AA"/>
    <w:rsid w:val="000F106F"/>
    <w:rsid w:val="000F230D"/>
    <w:rsid w:val="000F2636"/>
    <w:rsid w:val="000F29EA"/>
    <w:rsid w:val="000F2CB3"/>
    <w:rsid w:val="000F335F"/>
    <w:rsid w:val="000F382D"/>
    <w:rsid w:val="000F5E8F"/>
    <w:rsid w:val="000F66DB"/>
    <w:rsid w:val="000F694A"/>
    <w:rsid w:val="000F7457"/>
    <w:rsid w:val="000F76ED"/>
    <w:rsid w:val="000F7F03"/>
    <w:rsid w:val="001003B2"/>
    <w:rsid w:val="001005E8"/>
    <w:rsid w:val="001017A5"/>
    <w:rsid w:val="00101FFA"/>
    <w:rsid w:val="00102431"/>
    <w:rsid w:val="001025FC"/>
    <w:rsid w:val="001028E3"/>
    <w:rsid w:val="00102C41"/>
    <w:rsid w:val="001032D6"/>
    <w:rsid w:val="00103F42"/>
    <w:rsid w:val="0010413A"/>
    <w:rsid w:val="00104140"/>
    <w:rsid w:val="00104680"/>
    <w:rsid w:val="00104A9D"/>
    <w:rsid w:val="00104ECE"/>
    <w:rsid w:val="00105019"/>
    <w:rsid w:val="001050F1"/>
    <w:rsid w:val="00105CEE"/>
    <w:rsid w:val="0010637B"/>
    <w:rsid w:val="00107320"/>
    <w:rsid w:val="001073F2"/>
    <w:rsid w:val="001076D0"/>
    <w:rsid w:val="001077F3"/>
    <w:rsid w:val="00107A78"/>
    <w:rsid w:val="00110117"/>
    <w:rsid w:val="0011014C"/>
    <w:rsid w:val="00110E9A"/>
    <w:rsid w:val="00110FC9"/>
    <w:rsid w:val="0011141B"/>
    <w:rsid w:val="0011157A"/>
    <w:rsid w:val="00111755"/>
    <w:rsid w:val="00111AAF"/>
    <w:rsid w:val="0011270A"/>
    <w:rsid w:val="001130BC"/>
    <w:rsid w:val="001138A3"/>
    <w:rsid w:val="00113BDB"/>
    <w:rsid w:val="00114843"/>
    <w:rsid w:val="00114C89"/>
    <w:rsid w:val="00114CB1"/>
    <w:rsid w:val="00114FD2"/>
    <w:rsid w:val="001154B5"/>
    <w:rsid w:val="001155BE"/>
    <w:rsid w:val="00115614"/>
    <w:rsid w:val="0011573C"/>
    <w:rsid w:val="00115EDF"/>
    <w:rsid w:val="00116B21"/>
    <w:rsid w:val="00116E01"/>
    <w:rsid w:val="0012019A"/>
    <w:rsid w:val="00120EAA"/>
    <w:rsid w:val="00121F3E"/>
    <w:rsid w:val="0012223D"/>
    <w:rsid w:val="00122E6B"/>
    <w:rsid w:val="00124120"/>
    <w:rsid w:val="0012434D"/>
    <w:rsid w:val="0012488D"/>
    <w:rsid w:val="00124A67"/>
    <w:rsid w:val="00124E90"/>
    <w:rsid w:val="001256CE"/>
    <w:rsid w:val="00125B5F"/>
    <w:rsid w:val="00126873"/>
    <w:rsid w:val="00126ACB"/>
    <w:rsid w:val="00126F6B"/>
    <w:rsid w:val="0012764D"/>
    <w:rsid w:val="00127719"/>
    <w:rsid w:val="0012790C"/>
    <w:rsid w:val="00127966"/>
    <w:rsid w:val="0013064B"/>
    <w:rsid w:val="00130730"/>
    <w:rsid w:val="00130F0B"/>
    <w:rsid w:val="00131364"/>
    <w:rsid w:val="001317AF"/>
    <w:rsid w:val="0013224C"/>
    <w:rsid w:val="00132683"/>
    <w:rsid w:val="001335C1"/>
    <w:rsid w:val="00133638"/>
    <w:rsid w:val="001337B5"/>
    <w:rsid w:val="00133EA9"/>
    <w:rsid w:val="001345AA"/>
    <w:rsid w:val="00135B7E"/>
    <w:rsid w:val="00135F8E"/>
    <w:rsid w:val="00136073"/>
    <w:rsid w:val="001361F4"/>
    <w:rsid w:val="00136E01"/>
    <w:rsid w:val="001370A7"/>
    <w:rsid w:val="00137697"/>
    <w:rsid w:val="00140004"/>
    <w:rsid w:val="00140DDD"/>
    <w:rsid w:val="00140F43"/>
    <w:rsid w:val="001416E8"/>
    <w:rsid w:val="00141C2A"/>
    <w:rsid w:val="0014206B"/>
    <w:rsid w:val="0014237F"/>
    <w:rsid w:val="00142965"/>
    <w:rsid w:val="0014346E"/>
    <w:rsid w:val="001440A8"/>
    <w:rsid w:val="0014458B"/>
    <w:rsid w:val="00144698"/>
    <w:rsid w:val="00144B0F"/>
    <w:rsid w:val="001453EA"/>
    <w:rsid w:val="00145703"/>
    <w:rsid w:val="00145C72"/>
    <w:rsid w:val="00145CF4"/>
    <w:rsid w:val="00146264"/>
    <w:rsid w:val="00146276"/>
    <w:rsid w:val="0014627E"/>
    <w:rsid w:val="00146A86"/>
    <w:rsid w:val="00147288"/>
    <w:rsid w:val="00147441"/>
    <w:rsid w:val="00147FC7"/>
    <w:rsid w:val="001511DC"/>
    <w:rsid w:val="00151894"/>
    <w:rsid w:val="00151D34"/>
    <w:rsid w:val="00152520"/>
    <w:rsid w:val="001526B4"/>
    <w:rsid w:val="00153FDA"/>
    <w:rsid w:val="0015434D"/>
    <w:rsid w:val="00154AFA"/>
    <w:rsid w:val="001550B7"/>
    <w:rsid w:val="001560FE"/>
    <w:rsid w:val="00156344"/>
    <w:rsid w:val="00156535"/>
    <w:rsid w:val="00156B3A"/>
    <w:rsid w:val="00157BB5"/>
    <w:rsid w:val="00157E89"/>
    <w:rsid w:val="00157F1A"/>
    <w:rsid w:val="00160D9B"/>
    <w:rsid w:val="0016189F"/>
    <w:rsid w:val="001619D5"/>
    <w:rsid w:val="00161A18"/>
    <w:rsid w:val="00161D5A"/>
    <w:rsid w:val="0016258C"/>
    <w:rsid w:val="00163011"/>
    <w:rsid w:val="001638C3"/>
    <w:rsid w:val="001638DC"/>
    <w:rsid w:val="00163E63"/>
    <w:rsid w:val="0016408B"/>
    <w:rsid w:val="00164922"/>
    <w:rsid w:val="00164F10"/>
    <w:rsid w:val="00164F9A"/>
    <w:rsid w:val="001650B4"/>
    <w:rsid w:val="00165F70"/>
    <w:rsid w:val="00166203"/>
    <w:rsid w:val="00167886"/>
    <w:rsid w:val="0017076B"/>
    <w:rsid w:val="00170B3B"/>
    <w:rsid w:val="00171209"/>
    <w:rsid w:val="00171A41"/>
    <w:rsid w:val="00171ACE"/>
    <w:rsid w:val="00171B13"/>
    <w:rsid w:val="00171E43"/>
    <w:rsid w:val="00171E93"/>
    <w:rsid w:val="00172288"/>
    <w:rsid w:val="001722B0"/>
    <w:rsid w:val="00172B4A"/>
    <w:rsid w:val="00173370"/>
    <w:rsid w:val="0017351F"/>
    <w:rsid w:val="001749CB"/>
    <w:rsid w:val="00174C7D"/>
    <w:rsid w:val="00176069"/>
    <w:rsid w:val="00176113"/>
    <w:rsid w:val="001761F6"/>
    <w:rsid w:val="0017650E"/>
    <w:rsid w:val="0017651A"/>
    <w:rsid w:val="0018130B"/>
    <w:rsid w:val="0018135E"/>
    <w:rsid w:val="00181AF1"/>
    <w:rsid w:val="0018203E"/>
    <w:rsid w:val="00182B17"/>
    <w:rsid w:val="0018366F"/>
    <w:rsid w:val="00183783"/>
    <w:rsid w:val="00183EB2"/>
    <w:rsid w:val="00184398"/>
    <w:rsid w:val="001848F0"/>
    <w:rsid w:val="00184C2C"/>
    <w:rsid w:val="00184C77"/>
    <w:rsid w:val="00185093"/>
    <w:rsid w:val="001850CC"/>
    <w:rsid w:val="001855AD"/>
    <w:rsid w:val="001855FA"/>
    <w:rsid w:val="001858AE"/>
    <w:rsid w:val="00186980"/>
    <w:rsid w:val="001874B0"/>
    <w:rsid w:val="00190B77"/>
    <w:rsid w:val="00191535"/>
    <w:rsid w:val="001915D4"/>
    <w:rsid w:val="0019242A"/>
    <w:rsid w:val="00193A09"/>
    <w:rsid w:val="00193D0F"/>
    <w:rsid w:val="0019409A"/>
    <w:rsid w:val="0019426F"/>
    <w:rsid w:val="00194760"/>
    <w:rsid w:val="001952CA"/>
    <w:rsid w:val="00195661"/>
    <w:rsid w:val="00195F0D"/>
    <w:rsid w:val="00196077"/>
    <w:rsid w:val="001968CE"/>
    <w:rsid w:val="00196ADA"/>
    <w:rsid w:val="00197BE0"/>
    <w:rsid w:val="001A08A0"/>
    <w:rsid w:val="001A0DD6"/>
    <w:rsid w:val="001A112E"/>
    <w:rsid w:val="001A12E7"/>
    <w:rsid w:val="001A1525"/>
    <w:rsid w:val="001A1544"/>
    <w:rsid w:val="001A1FCD"/>
    <w:rsid w:val="001A2850"/>
    <w:rsid w:val="001A2B03"/>
    <w:rsid w:val="001A3034"/>
    <w:rsid w:val="001A3221"/>
    <w:rsid w:val="001A3384"/>
    <w:rsid w:val="001A366D"/>
    <w:rsid w:val="001A39B1"/>
    <w:rsid w:val="001A3C1E"/>
    <w:rsid w:val="001A41DC"/>
    <w:rsid w:val="001A4B78"/>
    <w:rsid w:val="001A4D2D"/>
    <w:rsid w:val="001A5BFB"/>
    <w:rsid w:val="001A5D79"/>
    <w:rsid w:val="001A6275"/>
    <w:rsid w:val="001A6BD8"/>
    <w:rsid w:val="001A71C9"/>
    <w:rsid w:val="001A7C75"/>
    <w:rsid w:val="001A7FF1"/>
    <w:rsid w:val="001B0234"/>
    <w:rsid w:val="001B0474"/>
    <w:rsid w:val="001B0712"/>
    <w:rsid w:val="001B1C89"/>
    <w:rsid w:val="001B1D74"/>
    <w:rsid w:val="001B23B5"/>
    <w:rsid w:val="001B24A3"/>
    <w:rsid w:val="001B3426"/>
    <w:rsid w:val="001B3C06"/>
    <w:rsid w:val="001B3CAF"/>
    <w:rsid w:val="001B3F59"/>
    <w:rsid w:val="001B4639"/>
    <w:rsid w:val="001B53A4"/>
    <w:rsid w:val="001B58E7"/>
    <w:rsid w:val="001B5BAB"/>
    <w:rsid w:val="001B5E7A"/>
    <w:rsid w:val="001B6BF0"/>
    <w:rsid w:val="001B6D9D"/>
    <w:rsid w:val="001B7894"/>
    <w:rsid w:val="001B7D1D"/>
    <w:rsid w:val="001C0290"/>
    <w:rsid w:val="001C15C3"/>
    <w:rsid w:val="001C1E80"/>
    <w:rsid w:val="001C27BF"/>
    <w:rsid w:val="001C2B20"/>
    <w:rsid w:val="001C2C71"/>
    <w:rsid w:val="001C2F13"/>
    <w:rsid w:val="001C3173"/>
    <w:rsid w:val="001C31C2"/>
    <w:rsid w:val="001C371A"/>
    <w:rsid w:val="001C3D30"/>
    <w:rsid w:val="001C3F26"/>
    <w:rsid w:val="001C429A"/>
    <w:rsid w:val="001C4A12"/>
    <w:rsid w:val="001C58C2"/>
    <w:rsid w:val="001C60B4"/>
    <w:rsid w:val="001C6478"/>
    <w:rsid w:val="001C65BE"/>
    <w:rsid w:val="001C6FDD"/>
    <w:rsid w:val="001C7804"/>
    <w:rsid w:val="001C7A4A"/>
    <w:rsid w:val="001C7C0F"/>
    <w:rsid w:val="001C7DBD"/>
    <w:rsid w:val="001D04E3"/>
    <w:rsid w:val="001D103E"/>
    <w:rsid w:val="001D13AB"/>
    <w:rsid w:val="001D14B1"/>
    <w:rsid w:val="001D1A68"/>
    <w:rsid w:val="001D1D29"/>
    <w:rsid w:val="001D1D6D"/>
    <w:rsid w:val="001D2D63"/>
    <w:rsid w:val="001D2F32"/>
    <w:rsid w:val="001D3774"/>
    <w:rsid w:val="001D3F89"/>
    <w:rsid w:val="001D46EF"/>
    <w:rsid w:val="001D4893"/>
    <w:rsid w:val="001D4F2B"/>
    <w:rsid w:val="001D5368"/>
    <w:rsid w:val="001D5BFE"/>
    <w:rsid w:val="001D5DDE"/>
    <w:rsid w:val="001D6597"/>
    <w:rsid w:val="001D66FA"/>
    <w:rsid w:val="001D685C"/>
    <w:rsid w:val="001D71AE"/>
    <w:rsid w:val="001D73FD"/>
    <w:rsid w:val="001D7D8B"/>
    <w:rsid w:val="001E0D6A"/>
    <w:rsid w:val="001E0D8C"/>
    <w:rsid w:val="001E0F05"/>
    <w:rsid w:val="001E1AE6"/>
    <w:rsid w:val="001E2430"/>
    <w:rsid w:val="001E273D"/>
    <w:rsid w:val="001E286F"/>
    <w:rsid w:val="001E2BAA"/>
    <w:rsid w:val="001E2C32"/>
    <w:rsid w:val="001E3289"/>
    <w:rsid w:val="001E4193"/>
    <w:rsid w:val="001E4206"/>
    <w:rsid w:val="001E440E"/>
    <w:rsid w:val="001E4987"/>
    <w:rsid w:val="001E5332"/>
    <w:rsid w:val="001E5CEA"/>
    <w:rsid w:val="001E6833"/>
    <w:rsid w:val="001E698F"/>
    <w:rsid w:val="001F03BE"/>
    <w:rsid w:val="001F056B"/>
    <w:rsid w:val="001F179A"/>
    <w:rsid w:val="001F17B2"/>
    <w:rsid w:val="001F1B31"/>
    <w:rsid w:val="001F1BE1"/>
    <w:rsid w:val="001F346D"/>
    <w:rsid w:val="001F3B97"/>
    <w:rsid w:val="001F3C18"/>
    <w:rsid w:val="001F48C0"/>
    <w:rsid w:val="001F4FFB"/>
    <w:rsid w:val="001F56C6"/>
    <w:rsid w:val="001F573D"/>
    <w:rsid w:val="001F6352"/>
    <w:rsid w:val="001F7673"/>
    <w:rsid w:val="001F79F7"/>
    <w:rsid w:val="001F7C0D"/>
    <w:rsid w:val="001F7FD8"/>
    <w:rsid w:val="00200178"/>
    <w:rsid w:val="00200673"/>
    <w:rsid w:val="00200679"/>
    <w:rsid w:val="00200E76"/>
    <w:rsid w:val="00200F01"/>
    <w:rsid w:val="00201042"/>
    <w:rsid w:val="0020128C"/>
    <w:rsid w:val="002013B2"/>
    <w:rsid w:val="00201A98"/>
    <w:rsid w:val="00202107"/>
    <w:rsid w:val="0020337D"/>
    <w:rsid w:val="0020363D"/>
    <w:rsid w:val="002049D5"/>
    <w:rsid w:val="00205634"/>
    <w:rsid w:val="00205E00"/>
    <w:rsid w:val="00205E5B"/>
    <w:rsid w:val="00206755"/>
    <w:rsid w:val="00207196"/>
    <w:rsid w:val="00207396"/>
    <w:rsid w:val="00207B15"/>
    <w:rsid w:val="002101F3"/>
    <w:rsid w:val="00210EF0"/>
    <w:rsid w:val="0021195F"/>
    <w:rsid w:val="00211A43"/>
    <w:rsid w:val="00212C36"/>
    <w:rsid w:val="00213203"/>
    <w:rsid w:val="002133D6"/>
    <w:rsid w:val="00213C43"/>
    <w:rsid w:val="00214831"/>
    <w:rsid w:val="002149E6"/>
    <w:rsid w:val="002152FC"/>
    <w:rsid w:val="0021535C"/>
    <w:rsid w:val="002153E3"/>
    <w:rsid w:val="00215442"/>
    <w:rsid w:val="00215AB3"/>
    <w:rsid w:val="00215C4D"/>
    <w:rsid w:val="00215D85"/>
    <w:rsid w:val="002169D6"/>
    <w:rsid w:val="00216B4A"/>
    <w:rsid w:val="00220051"/>
    <w:rsid w:val="00220C65"/>
    <w:rsid w:val="00221154"/>
    <w:rsid w:val="002212CF"/>
    <w:rsid w:val="00221D05"/>
    <w:rsid w:val="00222218"/>
    <w:rsid w:val="002222BD"/>
    <w:rsid w:val="0022253F"/>
    <w:rsid w:val="00222592"/>
    <w:rsid w:val="002227EF"/>
    <w:rsid w:val="00222BD6"/>
    <w:rsid w:val="00223DA3"/>
    <w:rsid w:val="002240D8"/>
    <w:rsid w:val="00224FDB"/>
    <w:rsid w:val="002251D2"/>
    <w:rsid w:val="00225702"/>
    <w:rsid w:val="002257E2"/>
    <w:rsid w:val="0022638B"/>
    <w:rsid w:val="0022649B"/>
    <w:rsid w:val="0022674C"/>
    <w:rsid w:val="00227B17"/>
    <w:rsid w:val="00227D19"/>
    <w:rsid w:val="0023012E"/>
    <w:rsid w:val="00230391"/>
    <w:rsid w:val="002309EA"/>
    <w:rsid w:val="00231172"/>
    <w:rsid w:val="00231847"/>
    <w:rsid w:val="002321A3"/>
    <w:rsid w:val="00232B23"/>
    <w:rsid w:val="00232FD2"/>
    <w:rsid w:val="0023302D"/>
    <w:rsid w:val="0023456C"/>
    <w:rsid w:val="002347A9"/>
    <w:rsid w:val="00234884"/>
    <w:rsid w:val="002348A3"/>
    <w:rsid w:val="002349C4"/>
    <w:rsid w:val="00235303"/>
    <w:rsid w:val="00236BC9"/>
    <w:rsid w:val="00236F86"/>
    <w:rsid w:val="00237BDB"/>
    <w:rsid w:val="00237D51"/>
    <w:rsid w:val="00237DEF"/>
    <w:rsid w:val="00237EE2"/>
    <w:rsid w:val="00240437"/>
    <w:rsid w:val="00240828"/>
    <w:rsid w:val="002427C5"/>
    <w:rsid w:val="00243444"/>
    <w:rsid w:val="00243498"/>
    <w:rsid w:val="00243917"/>
    <w:rsid w:val="00244344"/>
    <w:rsid w:val="002447FF"/>
    <w:rsid w:val="00245568"/>
    <w:rsid w:val="00245E56"/>
    <w:rsid w:val="00246B84"/>
    <w:rsid w:val="0024704E"/>
    <w:rsid w:val="00247F59"/>
    <w:rsid w:val="002506B3"/>
    <w:rsid w:val="00250C16"/>
    <w:rsid w:val="00250E69"/>
    <w:rsid w:val="00251026"/>
    <w:rsid w:val="00251376"/>
    <w:rsid w:val="00251377"/>
    <w:rsid w:val="0025162B"/>
    <w:rsid w:val="002518E2"/>
    <w:rsid w:val="00252AC5"/>
    <w:rsid w:val="00252E39"/>
    <w:rsid w:val="00253574"/>
    <w:rsid w:val="00253A56"/>
    <w:rsid w:val="00254196"/>
    <w:rsid w:val="002542A4"/>
    <w:rsid w:val="00254453"/>
    <w:rsid w:val="002545DF"/>
    <w:rsid w:val="00254611"/>
    <w:rsid w:val="00254714"/>
    <w:rsid w:val="00254CA4"/>
    <w:rsid w:val="00255245"/>
    <w:rsid w:val="00255A1C"/>
    <w:rsid w:val="00255CD6"/>
    <w:rsid w:val="00255E93"/>
    <w:rsid w:val="00256144"/>
    <w:rsid w:val="0025698E"/>
    <w:rsid w:val="0025706D"/>
    <w:rsid w:val="00257339"/>
    <w:rsid w:val="002573CD"/>
    <w:rsid w:val="002575E7"/>
    <w:rsid w:val="002576D3"/>
    <w:rsid w:val="00257BAF"/>
    <w:rsid w:val="00257E5A"/>
    <w:rsid w:val="00260407"/>
    <w:rsid w:val="002606FE"/>
    <w:rsid w:val="00261506"/>
    <w:rsid w:val="002620F2"/>
    <w:rsid w:val="00262160"/>
    <w:rsid w:val="00262AAD"/>
    <w:rsid w:val="00263142"/>
    <w:rsid w:val="002656E8"/>
    <w:rsid w:val="002657DD"/>
    <w:rsid w:val="00265D32"/>
    <w:rsid w:val="00266133"/>
    <w:rsid w:val="002662B3"/>
    <w:rsid w:val="002668AA"/>
    <w:rsid w:val="00267A5F"/>
    <w:rsid w:val="00270AE8"/>
    <w:rsid w:val="0027111D"/>
    <w:rsid w:val="0027172E"/>
    <w:rsid w:val="00271803"/>
    <w:rsid w:val="00271D29"/>
    <w:rsid w:val="002723E0"/>
    <w:rsid w:val="002727D6"/>
    <w:rsid w:val="0027288D"/>
    <w:rsid w:val="00272929"/>
    <w:rsid w:val="002735D3"/>
    <w:rsid w:val="002737EC"/>
    <w:rsid w:val="002745A0"/>
    <w:rsid w:val="0027485C"/>
    <w:rsid w:val="00274934"/>
    <w:rsid w:val="00274D22"/>
    <w:rsid w:val="00275208"/>
    <w:rsid w:val="00275784"/>
    <w:rsid w:val="00275887"/>
    <w:rsid w:val="00275E6F"/>
    <w:rsid w:val="0027626E"/>
    <w:rsid w:val="002764D5"/>
    <w:rsid w:val="00276C8B"/>
    <w:rsid w:val="00277805"/>
    <w:rsid w:val="00277DB4"/>
    <w:rsid w:val="00280114"/>
    <w:rsid w:val="00280E90"/>
    <w:rsid w:val="00280F46"/>
    <w:rsid w:val="0028101A"/>
    <w:rsid w:val="0028160A"/>
    <w:rsid w:val="002819A0"/>
    <w:rsid w:val="00281DA0"/>
    <w:rsid w:val="00282A33"/>
    <w:rsid w:val="0028351C"/>
    <w:rsid w:val="002837C1"/>
    <w:rsid w:val="00283861"/>
    <w:rsid w:val="0028499F"/>
    <w:rsid w:val="00285536"/>
    <w:rsid w:val="00286738"/>
    <w:rsid w:val="0028684B"/>
    <w:rsid w:val="002875C2"/>
    <w:rsid w:val="002879DE"/>
    <w:rsid w:val="00287A77"/>
    <w:rsid w:val="00287DB6"/>
    <w:rsid w:val="00287DC2"/>
    <w:rsid w:val="00287F61"/>
    <w:rsid w:val="00290C46"/>
    <w:rsid w:val="00290D9B"/>
    <w:rsid w:val="002911D8"/>
    <w:rsid w:val="00291DF4"/>
    <w:rsid w:val="002924F1"/>
    <w:rsid w:val="00292526"/>
    <w:rsid w:val="00292FA2"/>
    <w:rsid w:val="002937BF"/>
    <w:rsid w:val="00293AEB"/>
    <w:rsid w:val="00293E93"/>
    <w:rsid w:val="002946E9"/>
    <w:rsid w:val="00294D1D"/>
    <w:rsid w:val="00296049"/>
    <w:rsid w:val="002965E5"/>
    <w:rsid w:val="0029683B"/>
    <w:rsid w:val="00296A63"/>
    <w:rsid w:val="002971D4"/>
    <w:rsid w:val="0029773B"/>
    <w:rsid w:val="00297FB1"/>
    <w:rsid w:val="002A093A"/>
    <w:rsid w:val="002A0B79"/>
    <w:rsid w:val="002A0D25"/>
    <w:rsid w:val="002A0FA3"/>
    <w:rsid w:val="002A11CA"/>
    <w:rsid w:val="002A1476"/>
    <w:rsid w:val="002A1675"/>
    <w:rsid w:val="002A1EBF"/>
    <w:rsid w:val="002A25D6"/>
    <w:rsid w:val="002A26C9"/>
    <w:rsid w:val="002A28AD"/>
    <w:rsid w:val="002A2C31"/>
    <w:rsid w:val="002A3049"/>
    <w:rsid w:val="002A3A02"/>
    <w:rsid w:val="002A416B"/>
    <w:rsid w:val="002A6AA3"/>
    <w:rsid w:val="002A74A9"/>
    <w:rsid w:val="002B0368"/>
    <w:rsid w:val="002B0909"/>
    <w:rsid w:val="002B09BB"/>
    <w:rsid w:val="002B0B95"/>
    <w:rsid w:val="002B1AEE"/>
    <w:rsid w:val="002B1B96"/>
    <w:rsid w:val="002B2E90"/>
    <w:rsid w:val="002B30C8"/>
    <w:rsid w:val="002B3D60"/>
    <w:rsid w:val="002B4A10"/>
    <w:rsid w:val="002B5492"/>
    <w:rsid w:val="002B5688"/>
    <w:rsid w:val="002B5ADB"/>
    <w:rsid w:val="002B684F"/>
    <w:rsid w:val="002B6ADF"/>
    <w:rsid w:val="002B6B06"/>
    <w:rsid w:val="002B74CD"/>
    <w:rsid w:val="002B7BEA"/>
    <w:rsid w:val="002B7C24"/>
    <w:rsid w:val="002C0EAF"/>
    <w:rsid w:val="002C1738"/>
    <w:rsid w:val="002C178B"/>
    <w:rsid w:val="002C1BCE"/>
    <w:rsid w:val="002C1EA8"/>
    <w:rsid w:val="002C2326"/>
    <w:rsid w:val="002C24FF"/>
    <w:rsid w:val="002C2C6F"/>
    <w:rsid w:val="002C349B"/>
    <w:rsid w:val="002C3A44"/>
    <w:rsid w:val="002C3F5C"/>
    <w:rsid w:val="002C4183"/>
    <w:rsid w:val="002C4531"/>
    <w:rsid w:val="002C499D"/>
    <w:rsid w:val="002C4CDA"/>
    <w:rsid w:val="002C4EA2"/>
    <w:rsid w:val="002C5169"/>
    <w:rsid w:val="002C55DA"/>
    <w:rsid w:val="002C6D4E"/>
    <w:rsid w:val="002C724D"/>
    <w:rsid w:val="002D00F9"/>
    <w:rsid w:val="002D0D87"/>
    <w:rsid w:val="002D1883"/>
    <w:rsid w:val="002D1A36"/>
    <w:rsid w:val="002D1C76"/>
    <w:rsid w:val="002D2068"/>
    <w:rsid w:val="002D260F"/>
    <w:rsid w:val="002D2E5E"/>
    <w:rsid w:val="002D3600"/>
    <w:rsid w:val="002D4BE8"/>
    <w:rsid w:val="002D4F80"/>
    <w:rsid w:val="002D515A"/>
    <w:rsid w:val="002D520A"/>
    <w:rsid w:val="002D52D6"/>
    <w:rsid w:val="002D5548"/>
    <w:rsid w:val="002D6085"/>
    <w:rsid w:val="002D667A"/>
    <w:rsid w:val="002D68DF"/>
    <w:rsid w:val="002E04C0"/>
    <w:rsid w:val="002E06A9"/>
    <w:rsid w:val="002E11C0"/>
    <w:rsid w:val="002E12EA"/>
    <w:rsid w:val="002E1345"/>
    <w:rsid w:val="002E14D4"/>
    <w:rsid w:val="002E14E4"/>
    <w:rsid w:val="002E1531"/>
    <w:rsid w:val="002E15D7"/>
    <w:rsid w:val="002E295A"/>
    <w:rsid w:val="002E401E"/>
    <w:rsid w:val="002E404D"/>
    <w:rsid w:val="002E4EB8"/>
    <w:rsid w:val="002E50E7"/>
    <w:rsid w:val="002E56A8"/>
    <w:rsid w:val="002E58F2"/>
    <w:rsid w:val="002E6612"/>
    <w:rsid w:val="002E6761"/>
    <w:rsid w:val="002E6D36"/>
    <w:rsid w:val="002E793F"/>
    <w:rsid w:val="002E7C8B"/>
    <w:rsid w:val="002E7CC6"/>
    <w:rsid w:val="002F06AC"/>
    <w:rsid w:val="002F19C5"/>
    <w:rsid w:val="002F1A05"/>
    <w:rsid w:val="002F1C79"/>
    <w:rsid w:val="002F2768"/>
    <w:rsid w:val="002F2B53"/>
    <w:rsid w:val="002F2C56"/>
    <w:rsid w:val="002F3725"/>
    <w:rsid w:val="002F374F"/>
    <w:rsid w:val="002F3A28"/>
    <w:rsid w:val="002F3FB6"/>
    <w:rsid w:val="002F4488"/>
    <w:rsid w:val="002F5BAF"/>
    <w:rsid w:val="002F67A8"/>
    <w:rsid w:val="002F6D5B"/>
    <w:rsid w:val="002F76B7"/>
    <w:rsid w:val="002F775D"/>
    <w:rsid w:val="002F78F8"/>
    <w:rsid w:val="002F7E6B"/>
    <w:rsid w:val="00300145"/>
    <w:rsid w:val="00300342"/>
    <w:rsid w:val="003004E4"/>
    <w:rsid w:val="00300A4E"/>
    <w:rsid w:val="00301229"/>
    <w:rsid w:val="0030271F"/>
    <w:rsid w:val="003028D3"/>
    <w:rsid w:val="00302989"/>
    <w:rsid w:val="00303210"/>
    <w:rsid w:val="00303A56"/>
    <w:rsid w:val="00304244"/>
    <w:rsid w:val="00304F96"/>
    <w:rsid w:val="00305246"/>
    <w:rsid w:val="00305795"/>
    <w:rsid w:val="00307596"/>
    <w:rsid w:val="00310B9A"/>
    <w:rsid w:val="00310E9D"/>
    <w:rsid w:val="00311708"/>
    <w:rsid w:val="00311922"/>
    <w:rsid w:val="00311FF6"/>
    <w:rsid w:val="00312337"/>
    <w:rsid w:val="00312492"/>
    <w:rsid w:val="00313543"/>
    <w:rsid w:val="00313672"/>
    <w:rsid w:val="00313D79"/>
    <w:rsid w:val="00314AF8"/>
    <w:rsid w:val="00315318"/>
    <w:rsid w:val="0031667E"/>
    <w:rsid w:val="00320D2A"/>
    <w:rsid w:val="00320E36"/>
    <w:rsid w:val="00322199"/>
    <w:rsid w:val="003221FA"/>
    <w:rsid w:val="00322BCF"/>
    <w:rsid w:val="00322D4D"/>
    <w:rsid w:val="00323000"/>
    <w:rsid w:val="00323228"/>
    <w:rsid w:val="003236A0"/>
    <w:rsid w:val="0032372F"/>
    <w:rsid w:val="00323E08"/>
    <w:rsid w:val="003240AE"/>
    <w:rsid w:val="00324376"/>
    <w:rsid w:val="0032466B"/>
    <w:rsid w:val="00325A73"/>
    <w:rsid w:val="003265A3"/>
    <w:rsid w:val="003267A8"/>
    <w:rsid w:val="00326BF3"/>
    <w:rsid w:val="0032738B"/>
    <w:rsid w:val="00330BCE"/>
    <w:rsid w:val="003314B7"/>
    <w:rsid w:val="00331807"/>
    <w:rsid w:val="00331B15"/>
    <w:rsid w:val="0033211D"/>
    <w:rsid w:val="00332C03"/>
    <w:rsid w:val="00333020"/>
    <w:rsid w:val="00333CA1"/>
    <w:rsid w:val="00333E1D"/>
    <w:rsid w:val="0033457B"/>
    <w:rsid w:val="00335718"/>
    <w:rsid w:val="003358EE"/>
    <w:rsid w:val="00335CEA"/>
    <w:rsid w:val="00335D7A"/>
    <w:rsid w:val="00336315"/>
    <w:rsid w:val="00336B48"/>
    <w:rsid w:val="00336D33"/>
    <w:rsid w:val="003400FF"/>
    <w:rsid w:val="00340726"/>
    <w:rsid w:val="00340801"/>
    <w:rsid w:val="00341242"/>
    <w:rsid w:val="003417B9"/>
    <w:rsid w:val="00341C77"/>
    <w:rsid w:val="00341CA2"/>
    <w:rsid w:val="00342264"/>
    <w:rsid w:val="003422DB"/>
    <w:rsid w:val="003423DF"/>
    <w:rsid w:val="00342B97"/>
    <w:rsid w:val="00343CB9"/>
    <w:rsid w:val="00343E11"/>
    <w:rsid w:val="00344192"/>
    <w:rsid w:val="003459A6"/>
    <w:rsid w:val="00346576"/>
    <w:rsid w:val="00346767"/>
    <w:rsid w:val="003467A8"/>
    <w:rsid w:val="00346CD1"/>
    <w:rsid w:val="00346EAC"/>
    <w:rsid w:val="003476A7"/>
    <w:rsid w:val="003478CD"/>
    <w:rsid w:val="003506C6"/>
    <w:rsid w:val="00350904"/>
    <w:rsid w:val="00350E53"/>
    <w:rsid w:val="00350F31"/>
    <w:rsid w:val="0035109F"/>
    <w:rsid w:val="003511B9"/>
    <w:rsid w:val="003511C8"/>
    <w:rsid w:val="003523AD"/>
    <w:rsid w:val="0035336B"/>
    <w:rsid w:val="0035371B"/>
    <w:rsid w:val="003540B4"/>
    <w:rsid w:val="00354490"/>
    <w:rsid w:val="00354A66"/>
    <w:rsid w:val="00355B6B"/>
    <w:rsid w:val="00355FA4"/>
    <w:rsid w:val="00356973"/>
    <w:rsid w:val="00357485"/>
    <w:rsid w:val="0035778E"/>
    <w:rsid w:val="00357F66"/>
    <w:rsid w:val="00357FD5"/>
    <w:rsid w:val="003607B9"/>
    <w:rsid w:val="003612EE"/>
    <w:rsid w:val="0036280A"/>
    <w:rsid w:val="00364F92"/>
    <w:rsid w:val="003650D9"/>
    <w:rsid w:val="003659D2"/>
    <w:rsid w:val="00365B2F"/>
    <w:rsid w:val="00365DBD"/>
    <w:rsid w:val="00366359"/>
    <w:rsid w:val="00366A68"/>
    <w:rsid w:val="00366BD5"/>
    <w:rsid w:val="0036704F"/>
    <w:rsid w:val="00367B41"/>
    <w:rsid w:val="00367CA0"/>
    <w:rsid w:val="00367DBB"/>
    <w:rsid w:val="0037058C"/>
    <w:rsid w:val="0037126D"/>
    <w:rsid w:val="00371518"/>
    <w:rsid w:val="0037292C"/>
    <w:rsid w:val="00372DD3"/>
    <w:rsid w:val="00372F47"/>
    <w:rsid w:val="0037306C"/>
    <w:rsid w:val="003731C5"/>
    <w:rsid w:val="00373691"/>
    <w:rsid w:val="0037454C"/>
    <w:rsid w:val="00374C57"/>
    <w:rsid w:val="00375139"/>
    <w:rsid w:val="00375205"/>
    <w:rsid w:val="003752AD"/>
    <w:rsid w:val="00375364"/>
    <w:rsid w:val="00375CBB"/>
    <w:rsid w:val="0037643E"/>
    <w:rsid w:val="0037680B"/>
    <w:rsid w:val="00376B9E"/>
    <w:rsid w:val="00376D18"/>
    <w:rsid w:val="00376D4A"/>
    <w:rsid w:val="00377865"/>
    <w:rsid w:val="00377DD9"/>
    <w:rsid w:val="003806D2"/>
    <w:rsid w:val="003807F0"/>
    <w:rsid w:val="00380B20"/>
    <w:rsid w:val="003823FF"/>
    <w:rsid w:val="003824CC"/>
    <w:rsid w:val="003826D4"/>
    <w:rsid w:val="00382951"/>
    <w:rsid w:val="003829C1"/>
    <w:rsid w:val="003831F7"/>
    <w:rsid w:val="003832A2"/>
    <w:rsid w:val="00383AAD"/>
    <w:rsid w:val="00384481"/>
    <w:rsid w:val="00384528"/>
    <w:rsid w:val="00384720"/>
    <w:rsid w:val="003849AD"/>
    <w:rsid w:val="00384B4A"/>
    <w:rsid w:val="00384E1A"/>
    <w:rsid w:val="00384F60"/>
    <w:rsid w:val="0038617D"/>
    <w:rsid w:val="0038732C"/>
    <w:rsid w:val="00387415"/>
    <w:rsid w:val="003874C2"/>
    <w:rsid w:val="003905FB"/>
    <w:rsid w:val="003908E5"/>
    <w:rsid w:val="00391718"/>
    <w:rsid w:val="00391C0A"/>
    <w:rsid w:val="00391D1D"/>
    <w:rsid w:val="00392059"/>
    <w:rsid w:val="00392CF8"/>
    <w:rsid w:val="00392EA4"/>
    <w:rsid w:val="0039324D"/>
    <w:rsid w:val="003934AD"/>
    <w:rsid w:val="003938A0"/>
    <w:rsid w:val="003938D0"/>
    <w:rsid w:val="00393B30"/>
    <w:rsid w:val="00393D40"/>
    <w:rsid w:val="0039402F"/>
    <w:rsid w:val="003941DD"/>
    <w:rsid w:val="003942B1"/>
    <w:rsid w:val="0039442C"/>
    <w:rsid w:val="003946A5"/>
    <w:rsid w:val="003946C2"/>
    <w:rsid w:val="00394F96"/>
    <w:rsid w:val="00395078"/>
    <w:rsid w:val="0039522C"/>
    <w:rsid w:val="0039587F"/>
    <w:rsid w:val="00396297"/>
    <w:rsid w:val="00396BA0"/>
    <w:rsid w:val="003971B3"/>
    <w:rsid w:val="003977DB"/>
    <w:rsid w:val="00397A82"/>
    <w:rsid w:val="00397C11"/>
    <w:rsid w:val="00397C33"/>
    <w:rsid w:val="003A00E1"/>
    <w:rsid w:val="003A1425"/>
    <w:rsid w:val="003A151C"/>
    <w:rsid w:val="003A201F"/>
    <w:rsid w:val="003A21B8"/>
    <w:rsid w:val="003A2A33"/>
    <w:rsid w:val="003A38E5"/>
    <w:rsid w:val="003A3C8C"/>
    <w:rsid w:val="003A3F09"/>
    <w:rsid w:val="003A40CB"/>
    <w:rsid w:val="003A4B53"/>
    <w:rsid w:val="003A6212"/>
    <w:rsid w:val="003A6518"/>
    <w:rsid w:val="003A66B0"/>
    <w:rsid w:val="003A6C06"/>
    <w:rsid w:val="003A7067"/>
    <w:rsid w:val="003A7084"/>
    <w:rsid w:val="003A77F2"/>
    <w:rsid w:val="003A7852"/>
    <w:rsid w:val="003A7BE6"/>
    <w:rsid w:val="003A7DE8"/>
    <w:rsid w:val="003A7E08"/>
    <w:rsid w:val="003B018E"/>
    <w:rsid w:val="003B0B49"/>
    <w:rsid w:val="003B0E86"/>
    <w:rsid w:val="003B0EE4"/>
    <w:rsid w:val="003B166D"/>
    <w:rsid w:val="003B26E3"/>
    <w:rsid w:val="003B28F3"/>
    <w:rsid w:val="003B2C65"/>
    <w:rsid w:val="003B3A3A"/>
    <w:rsid w:val="003B413C"/>
    <w:rsid w:val="003B4258"/>
    <w:rsid w:val="003B44C6"/>
    <w:rsid w:val="003B4BC8"/>
    <w:rsid w:val="003B4E4E"/>
    <w:rsid w:val="003B50FC"/>
    <w:rsid w:val="003B573A"/>
    <w:rsid w:val="003B69FA"/>
    <w:rsid w:val="003B6E4C"/>
    <w:rsid w:val="003B6EF9"/>
    <w:rsid w:val="003B7D43"/>
    <w:rsid w:val="003C06CE"/>
    <w:rsid w:val="003C1B2B"/>
    <w:rsid w:val="003C201A"/>
    <w:rsid w:val="003C22B7"/>
    <w:rsid w:val="003C280D"/>
    <w:rsid w:val="003C29B0"/>
    <w:rsid w:val="003C2F58"/>
    <w:rsid w:val="003C415C"/>
    <w:rsid w:val="003C4497"/>
    <w:rsid w:val="003C4643"/>
    <w:rsid w:val="003C4766"/>
    <w:rsid w:val="003C53E0"/>
    <w:rsid w:val="003C55A0"/>
    <w:rsid w:val="003C5BD6"/>
    <w:rsid w:val="003C6225"/>
    <w:rsid w:val="003C6CDF"/>
    <w:rsid w:val="003D05C4"/>
    <w:rsid w:val="003D0856"/>
    <w:rsid w:val="003D1A2F"/>
    <w:rsid w:val="003D21CD"/>
    <w:rsid w:val="003D23D4"/>
    <w:rsid w:val="003D2766"/>
    <w:rsid w:val="003D2CB8"/>
    <w:rsid w:val="003D3740"/>
    <w:rsid w:val="003D3C54"/>
    <w:rsid w:val="003D3C7D"/>
    <w:rsid w:val="003D452D"/>
    <w:rsid w:val="003D4F36"/>
    <w:rsid w:val="003D53AE"/>
    <w:rsid w:val="003E02BA"/>
    <w:rsid w:val="003E058F"/>
    <w:rsid w:val="003E0F74"/>
    <w:rsid w:val="003E1017"/>
    <w:rsid w:val="003E1878"/>
    <w:rsid w:val="003E1B5B"/>
    <w:rsid w:val="003E1BD5"/>
    <w:rsid w:val="003E2BD6"/>
    <w:rsid w:val="003E2CC5"/>
    <w:rsid w:val="003E2CD6"/>
    <w:rsid w:val="003E36B3"/>
    <w:rsid w:val="003E3805"/>
    <w:rsid w:val="003E390C"/>
    <w:rsid w:val="003E3ABE"/>
    <w:rsid w:val="003E4390"/>
    <w:rsid w:val="003E478D"/>
    <w:rsid w:val="003E4B6A"/>
    <w:rsid w:val="003E4D09"/>
    <w:rsid w:val="003E599F"/>
    <w:rsid w:val="003E5CE9"/>
    <w:rsid w:val="003E646E"/>
    <w:rsid w:val="003E6D22"/>
    <w:rsid w:val="003E6E42"/>
    <w:rsid w:val="003E6EF5"/>
    <w:rsid w:val="003E7CA9"/>
    <w:rsid w:val="003E7CBB"/>
    <w:rsid w:val="003F0901"/>
    <w:rsid w:val="003F16A2"/>
    <w:rsid w:val="003F16DF"/>
    <w:rsid w:val="003F18E4"/>
    <w:rsid w:val="003F313B"/>
    <w:rsid w:val="003F34E7"/>
    <w:rsid w:val="003F4263"/>
    <w:rsid w:val="003F44B3"/>
    <w:rsid w:val="003F44E7"/>
    <w:rsid w:val="003F45F6"/>
    <w:rsid w:val="003F52E2"/>
    <w:rsid w:val="003F57AE"/>
    <w:rsid w:val="003F62E4"/>
    <w:rsid w:val="003F69FB"/>
    <w:rsid w:val="003F71BA"/>
    <w:rsid w:val="003F75DB"/>
    <w:rsid w:val="003F7636"/>
    <w:rsid w:val="003F7E09"/>
    <w:rsid w:val="00400D25"/>
    <w:rsid w:val="004019BC"/>
    <w:rsid w:val="00402F65"/>
    <w:rsid w:val="00403F63"/>
    <w:rsid w:val="00404DCF"/>
    <w:rsid w:val="00405165"/>
    <w:rsid w:val="00406436"/>
    <w:rsid w:val="00406E45"/>
    <w:rsid w:val="00406E59"/>
    <w:rsid w:val="00407A08"/>
    <w:rsid w:val="004122A6"/>
    <w:rsid w:val="0041251A"/>
    <w:rsid w:val="00412F68"/>
    <w:rsid w:val="004130A0"/>
    <w:rsid w:val="004139A4"/>
    <w:rsid w:val="00413A92"/>
    <w:rsid w:val="004141B6"/>
    <w:rsid w:val="0041437A"/>
    <w:rsid w:val="00414448"/>
    <w:rsid w:val="0041444D"/>
    <w:rsid w:val="00414944"/>
    <w:rsid w:val="00415845"/>
    <w:rsid w:val="00415CCD"/>
    <w:rsid w:val="00416248"/>
    <w:rsid w:val="00416915"/>
    <w:rsid w:val="0041704A"/>
    <w:rsid w:val="004177EF"/>
    <w:rsid w:val="00417E1B"/>
    <w:rsid w:val="00420169"/>
    <w:rsid w:val="004210E5"/>
    <w:rsid w:val="00421168"/>
    <w:rsid w:val="0042127D"/>
    <w:rsid w:val="00424FDC"/>
    <w:rsid w:val="0042505B"/>
    <w:rsid w:val="0042510C"/>
    <w:rsid w:val="004252EB"/>
    <w:rsid w:val="0042662B"/>
    <w:rsid w:val="00426653"/>
    <w:rsid w:val="004268BC"/>
    <w:rsid w:val="00427DA0"/>
    <w:rsid w:val="00427FAA"/>
    <w:rsid w:val="00430C47"/>
    <w:rsid w:val="0043168B"/>
    <w:rsid w:val="0043183B"/>
    <w:rsid w:val="00431B1D"/>
    <w:rsid w:val="00431B99"/>
    <w:rsid w:val="004322D2"/>
    <w:rsid w:val="00432396"/>
    <w:rsid w:val="004324C0"/>
    <w:rsid w:val="00432A15"/>
    <w:rsid w:val="00432B5C"/>
    <w:rsid w:val="00432C6B"/>
    <w:rsid w:val="004344B8"/>
    <w:rsid w:val="004344D2"/>
    <w:rsid w:val="004344F8"/>
    <w:rsid w:val="004346BB"/>
    <w:rsid w:val="004347CD"/>
    <w:rsid w:val="00434A3F"/>
    <w:rsid w:val="0043501E"/>
    <w:rsid w:val="00435ED2"/>
    <w:rsid w:val="00436782"/>
    <w:rsid w:val="00436D04"/>
    <w:rsid w:val="00437B05"/>
    <w:rsid w:val="00437D61"/>
    <w:rsid w:val="0044086F"/>
    <w:rsid w:val="00440A17"/>
    <w:rsid w:val="0044147A"/>
    <w:rsid w:val="00442158"/>
    <w:rsid w:val="004429BC"/>
    <w:rsid w:val="00442E26"/>
    <w:rsid w:val="004435AC"/>
    <w:rsid w:val="00443650"/>
    <w:rsid w:val="00444050"/>
    <w:rsid w:val="00444590"/>
    <w:rsid w:val="00444748"/>
    <w:rsid w:val="00444F52"/>
    <w:rsid w:val="004457B5"/>
    <w:rsid w:val="00445910"/>
    <w:rsid w:val="0044633E"/>
    <w:rsid w:val="00447E87"/>
    <w:rsid w:val="004504E1"/>
    <w:rsid w:val="00450664"/>
    <w:rsid w:val="0045101E"/>
    <w:rsid w:val="0045173A"/>
    <w:rsid w:val="004519A7"/>
    <w:rsid w:val="00451D71"/>
    <w:rsid w:val="00452242"/>
    <w:rsid w:val="00452B20"/>
    <w:rsid w:val="00452E58"/>
    <w:rsid w:val="00454354"/>
    <w:rsid w:val="0045568E"/>
    <w:rsid w:val="00455738"/>
    <w:rsid w:val="00455BC3"/>
    <w:rsid w:val="00456301"/>
    <w:rsid w:val="0045688E"/>
    <w:rsid w:val="004570AF"/>
    <w:rsid w:val="004570F2"/>
    <w:rsid w:val="004607AC"/>
    <w:rsid w:val="0046081C"/>
    <w:rsid w:val="00460929"/>
    <w:rsid w:val="00460AD7"/>
    <w:rsid w:val="00460C9C"/>
    <w:rsid w:val="0046126A"/>
    <w:rsid w:val="00461652"/>
    <w:rsid w:val="00462740"/>
    <w:rsid w:val="00462F2A"/>
    <w:rsid w:val="00463771"/>
    <w:rsid w:val="00463DAD"/>
    <w:rsid w:val="004640F2"/>
    <w:rsid w:val="004647B7"/>
    <w:rsid w:val="00464F7E"/>
    <w:rsid w:val="00465900"/>
    <w:rsid w:val="00465FEC"/>
    <w:rsid w:val="004662E3"/>
    <w:rsid w:val="00466833"/>
    <w:rsid w:val="00466C67"/>
    <w:rsid w:val="00466DED"/>
    <w:rsid w:val="004670E3"/>
    <w:rsid w:val="004671A8"/>
    <w:rsid w:val="00467218"/>
    <w:rsid w:val="0047005C"/>
    <w:rsid w:val="0047030E"/>
    <w:rsid w:val="004703C6"/>
    <w:rsid w:val="004707F5"/>
    <w:rsid w:val="00470906"/>
    <w:rsid w:val="00471D51"/>
    <w:rsid w:val="00471F9D"/>
    <w:rsid w:val="00472134"/>
    <w:rsid w:val="0047340C"/>
    <w:rsid w:val="00473438"/>
    <w:rsid w:val="0047348B"/>
    <w:rsid w:val="004734CC"/>
    <w:rsid w:val="004735A6"/>
    <w:rsid w:val="00473664"/>
    <w:rsid w:val="004737B7"/>
    <w:rsid w:val="00475CFA"/>
    <w:rsid w:val="004766B3"/>
    <w:rsid w:val="0047705C"/>
    <w:rsid w:val="00477698"/>
    <w:rsid w:val="00477C81"/>
    <w:rsid w:val="00480652"/>
    <w:rsid w:val="00480B9E"/>
    <w:rsid w:val="00482003"/>
    <w:rsid w:val="00482458"/>
    <w:rsid w:val="0048250E"/>
    <w:rsid w:val="00482725"/>
    <w:rsid w:val="0048274D"/>
    <w:rsid w:val="00482E08"/>
    <w:rsid w:val="00482EAA"/>
    <w:rsid w:val="00483304"/>
    <w:rsid w:val="004838F4"/>
    <w:rsid w:val="00483B96"/>
    <w:rsid w:val="00484B5B"/>
    <w:rsid w:val="00484E58"/>
    <w:rsid w:val="004861F9"/>
    <w:rsid w:val="00486B89"/>
    <w:rsid w:val="00486DA5"/>
    <w:rsid w:val="00487D57"/>
    <w:rsid w:val="00487E96"/>
    <w:rsid w:val="00490000"/>
    <w:rsid w:val="00491375"/>
    <w:rsid w:val="004914B9"/>
    <w:rsid w:val="00491C24"/>
    <w:rsid w:val="00491D38"/>
    <w:rsid w:val="00491DC3"/>
    <w:rsid w:val="004921FF"/>
    <w:rsid w:val="00492660"/>
    <w:rsid w:val="004935DB"/>
    <w:rsid w:val="00493D54"/>
    <w:rsid w:val="00493DFE"/>
    <w:rsid w:val="004944B0"/>
    <w:rsid w:val="004944BA"/>
    <w:rsid w:val="00494735"/>
    <w:rsid w:val="00494DEC"/>
    <w:rsid w:val="004957A0"/>
    <w:rsid w:val="00495B6F"/>
    <w:rsid w:val="00495D2B"/>
    <w:rsid w:val="0049625A"/>
    <w:rsid w:val="00496AC3"/>
    <w:rsid w:val="00496F12"/>
    <w:rsid w:val="00497C14"/>
    <w:rsid w:val="004A0718"/>
    <w:rsid w:val="004A14ED"/>
    <w:rsid w:val="004A1539"/>
    <w:rsid w:val="004A159D"/>
    <w:rsid w:val="004A1E29"/>
    <w:rsid w:val="004A23D7"/>
    <w:rsid w:val="004A26A8"/>
    <w:rsid w:val="004A4BD8"/>
    <w:rsid w:val="004A4E72"/>
    <w:rsid w:val="004A5354"/>
    <w:rsid w:val="004A54C2"/>
    <w:rsid w:val="004A5622"/>
    <w:rsid w:val="004A59F1"/>
    <w:rsid w:val="004A5F55"/>
    <w:rsid w:val="004A61FB"/>
    <w:rsid w:val="004A6869"/>
    <w:rsid w:val="004A6C8E"/>
    <w:rsid w:val="004A6CDC"/>
    <w:rsid w:val="004A78C3"/>
    <w:rsid w:val="004A79C5"/>
    <w:rsid w:val="004A7BAE"/>
    <w:rsid w:val="004B03C4"/>
    <w:rsid w:val="004B057B"/>
    <w:rsid w:val="004B0684"/>
    <w:rsid w:val="004B081F"/>
    <w:rsid w:val="004B110E"/>
    <w:rsid w:val="004B162C"/>
    <w:rsid w:val="004B18C5"/>
    <w:rsid w:val="004B1D28"/>
    <w:rsid w:val="004B1DAD"/>
    <w:rsid w:val="004B4096"/>
    <w:rsid w:val="004B4325"/>
    <w:rsid w:val="004B4533"/>
    <w:rsid w:val="004B45F1"/>
    <w:rsid w:val="004B4C30"/>
    <w:rsid w:val="004B6011"/>
    <w:rsid w:val="004B65F5"/>
    <w:rsid w:val="004B67A4"/>
    <w:rsid w:val="004C053B"/>
    <w:rsid w:val="004C09B4"/>
    <w:rsid w:val="004C14F1"/>
    <w:rsid w:val="004C18E2"/>
    <w:rsid w:val="004C1DEC"/>
    <w:rsid w:val="004C2766"/>
    <w:rsid w:val="004C2997"/>
    <w:rsid w:val="004C2B11"/>
    <w:rsid w:val="004C2D26"/>
    <w:rsid w:val="004C3258"/>
    <w:rsid w:val="004C333B"/>
    <w:rsid w:val="004C39E1"/>
    <w:rsid w:val="004C3AB7"/>
    <w:rsid w:val="004C3B76"/>
    <w:rsid w:val="004C4421"/>
    <w:rsid w:val="004C5BE5"/>
    <w:rsid w:val="004C6585"/>
    <w:rsid w:val="004C666B"/>
    <w:rsid w:val="004C6E50"/>
    <w:rsid w:val="004C700E"/>
    <w:rsid w:val="004C7027"/>
    <w:rsid w:val="004C70CF"/>
    <w:rsid w:val="004C71F4"/>
    <w:rsid w:val="004D036E"/>
    <w:rsid w:val="004D0819"/>
    <w:rsid w:val="004D0A10"/>
    <w:rsid w:val="004D1B01"/>
    <w:rsid w:val="004D2976"/>
    <w:rsid w:val="004D2F4C"/>
    <w:rsid w:val="004D377F"/>
    <w:rsid w:val="004D44FE"/>
    <w:rsid w:val="004D5216"/>
    <w:rsid w:val="004D648A"/>
    <w:rsid w:val="004D768F"/>
    <w:rsid w:val="004E0243"/>
    <w:rsid w:val="004E06E3"/>
    <w:rsid w:val="004E0915"/>
    <w:rsid w:val="004E1A6A"/>
    <w:rsid w:val="004E1DF9"/>
    <w:rsid w:val="004E2255"/>
    <w:rsid w:val="004E2262"/>
    <w:rsid w:val="004E229A"/>
    <w:rsid w:val="004E22E7"/>
    <w:rsid w:val="004E258D"/>
    <w:rsid w:val="004E2754"/>
    <w:rsid w:val="004E2B07"/>
    <w:rsid w:val="004E35DC"/>
    <w:rsid w:val="004E36AC"/>
    <w:rsid w:val="004E3FCB"/>
    <w:rsid w:val="004E433C"/>
    <w:rsid w:val="004E55DB"/>
    <w:rsid w:val="004E6058"/>
    <w:rsid w:val="004F053A"/>
    <w:rsid w:val="004F0CF8"/>
    <w:rsid w:val="004F1E82"/>
    <w:rsid w:val="004F1ECB"/>
    <w:rsid w:val="004F2940"/>
    <w:rsid w:val="004F296D"/>
    <w:rsid w:val="004F3177"/>
    <w:rsid w:val="004F3661"/>
    <w:rsid w:val="004F392D"/>
    <w:rsid w:val="004F4FFB"/>
    <w:rsid w:val="004F5782"/>
    <w:rsid w:val="004F591C"/>
    <w:rsid w:val="004F5C14"/>
    <w:rsid w:val="004F5D80"/>
    <w:rsid w:val="004F62A9"/>
    <w:rsid w:val="004F68CB"/>
    <w:rsid w:val="004F7158"/>
    <w:rsid w:val="004F71A9"/>
    <w:rsid w:val="004F7211"/>
    <w:rsid w:val="004F7402"/>
    <w:rsid w:val="004F781C"/>
    <w:rsid w:val="004F7DC1"/>
    <w:rsid w:val="004F7F1B"/>
    <w:rsid w:val="004F7F1D"/>
    <w:rsid w:val="004F7FA8"/>
    <w:rsid w:val="00500360"/>
    <w:rsid w:val="0050044C"/>
    <w:rsid w:val="005009E5"/>
    <w:rsid w:val="00501698"/>
    <w:rsid w:val="0050328A"/>
    <w:rsid w:val="00503B98"/>
    <w:rsid w:val="00504189"/>
    <w:rsid w:val="005057A4"/>
    <w:rsid w:val="0050585F"/>
    <w:rsid w:val="00505866"/>
    <w:rsid w:val="00506203"/>
    <w:rsid w:val="0050664D"/>
    <w:rsid w:val="00506ED1"/>
    <w:rsid w:val="00507444"/>
    <w:rsid w:val="0050784E"/>
    <w:rsid w:val="00507893"/>
    <w:rsid w:val="005079A8"/>
    <w:rsid w:val="00510620"/>
    <w:rsid w:val="00510A71"/>
    <w:rsid w:val="00510BB7"/>
    <w:rsid w:val="00510CB9"/>
    <w:rsid w:val="00511122"/>
    <w:rsid w:val="005115AC"/>
    <w:rsid w:val="0051163A"/>
    <w:rsid w:val="00511906"/>
    <w:rsid w:val="00512022"/>
    <w:rsid w:val="00512F5D"/>
    <w:rsid w:val="00513358"/>
    <w:rsid w:val="00513CCC"/>
    <w:rsid w:val="005143F9"/>
    <w:rsid w:val="00514D48"/>
    <w:rsid w:val="00514D7E"/>
    <w:rsid w:val="00514F87"/>
    <w:rsid w:val="00514FF4"/>
    <w:rsid w:val="00517178"/>
    <w:rsid w:val="00517237"/>
    <w:rsid w:val="00517411"/>
    <w:rsid w:val="00517EB2"/>
    <w:rsid w:val="00517F87"/>
    <w:rsid w:val="0052073B"/>
    <w:rsid w:val="0052075E"/>
    <w:rsid w:val="00520FDA"/>
    <w:rsid w:val="0052101F"/>
    <w:rsid w:val="005213A6"/>
    <w:rsid w:val="0052155B"/>
    <w:rsid w:val="00521C88"/>
    <w:rsid w:val="00521FF6"/>
    <w:rsid w:val="0052237D"/>
    <w:rsid w:val="005229EC"/>
    <w:rsid w:val="00522B12"/>
    <w:rsid w:val="00523099"/>
    <w:rsid w:val="0052417C"/>
    <w:rsid w:val="0052461A"/>
    <w:rsid w:val="005250E5"/>
    <w:rsid w:val="00525285"/>
    <w:rsid w:val="0052633A"/>
    <w:rsid w:val="005263D7"/>
    <w:rsid w:val="00526D62"/>
    <w:rsid w:val="00526F18"/>
    <w:rsid w:val="00527355"/>
    <w:rsid w:val="0052761B"/>
    <w:rsid w:val="00527D88"/>
    <w:rsid w:val="00527F7C"/>
    <w:rsid w:val="0053018E"/>
    <w:rsid w:val="005302DD"/>
    <w:rsid w:val="005305DC"/>
    <w:rsid w:val="0053068F"/>
    <w:rsid w:val="005312C5"/>
    <w:rsid w:val="005312F2"/>
    <w:rsid w:val="0053151F"/>
    <w:rsid w:val="005316F8"/>
    <w:rsid w:val="00531842"/>
    <w:rsid w:val="005318A2"/>
    <w:rsid w:val="005319FC"/>
    <w:rsid w:val="00531BF2"/>
    <w:rsid w:val="00532374"/>
    <w:rsid w:val="00532752"/>
    <w:rsid w:val="00532814"/>
    <w:rsid w:val="00532907"/>
    <w:rsid w:val="00532BE2"/>
    <w:rsid w:val="00532BE6"/>
    <w:rsid w:val="00532E79"/>
    <w:rsid w:val="005330A7"/>
    <w:rsid w:val="005340CE"/>
    <w:rsid w:val="005348E1"/>
    <w:rsid w:val="0053526E"/>
    <w:rsid w:val="00535ADB"/>
    <w:rsid w:val="00535ECC"/>
    <w:rsid w:val="00536A91"/>
    <w:rsid w:val="00536BA2"/>
    <w:rsid w:val="00536F26"/>
    <w:rsid w:val="00537603"/>
    <w:rsid w:val="00537762"/>
    <w:rsid w:val="00537B42"/>
    <w:rsid w:val="00540344"/>
    <w:rsid w:val="00540405"/>
    <w:rsid w:val="00540BE2"/>
    <w:rsid w:val="00540C9D"/>
    <w:rsid w:val="0054268B"/>
    <w:rsid w:val="00542DEE"/>
    <w:rsid w:val="00543330"/>
    <w:rsid w:val="00543334"/>
    <w:rsid w:val="0054355D"/>
    <w:rsid w:val="00543F62"/>
    <w:rsid w:val="00544251"/>
    <w:rsid w:val="0054444E"/>
    <w:rsid w:val="005445D6"/>
    <w:rsid w:val="00544877"/>
    <w:rsid w:val="00545FDD"/>
    <w:rsid w:val="00546AB9"/>
    <w:rsid w:val="00546C42"/>
    <w:rsid w:val="00547679"/>
    <w:rsid w:val="00547746"/>
    <w:rsid w:val="00547B76"/>
    <w:rsid w:val="00547C6C"/>
    <w:rsid w:val="00550011"/>
    <w:rsid w:val="005503B9"/>
    <w:rsid w:val="00550B87"/>
    <w:rsid w:val="00551375"/>
    <w:rsid w:val="00551BB4"/>
    <w:rsid w:val="00552279"/>
    <w:rsid w:val="00553125"/>
    <w:rsid w:val="0055347E"/>
    <w:rsid w:val="00553647"/>
    <w:rsid w:val="0055372C"/>
    <w:rsid w:val="00553817"/>
    <w:rsid w:val="0055417A"/>
    <w:rsid w:val="005548F7"/>
    <w:rsid w:val="00554FC1"/>
    <w:rsid w:val="005558D1"/>
    <w:rsid w:val="0055590B"/>
    <w:rsid w:val="00555AB8"/>
    <w:rsid w:val="00555B27"/>
    <w:rsid w:val="00555FD0"/>
    <w:rsid w:val="00556442"/>
    <w:rsid w:val="00557840"/>
    <w:rsid w:val="00557FF2"/>
    <w:rsid w:val="00560392"/>
    <w:rsid w:val="005618CF"/>
    <w:rsid w:val="00561ABF"/>
    <w:rsid w:val="005622B6"/>
    <w:rsid w:val="0056239D"/>
    <w:rsid w:val="00562F20"/>
    <w:rsid w:val="0056402C"/>
    <w:rsid w:val="0056408F"/>
    <w:rsid w:val="00564298"/>
    <w:rsid w:val="00564395"/>
    <w:rsid w:val="00564A05"/>
    <w:rsid w:val="00564C0C"/>
    <w:rsid w:val="00564D1C"/>
    <w:rsid w:val="00564F16"/>
    <w:rsid w:val="00565B67"/>
    <w:rsid w:val="00565D54"/>
    <w:rsid w:val="00565E92"/>
    <w:rsid w:val="00565EDC"/>
    <w:rsid w:val="00565FAA"/>
    <w:rsid w:val="00566239"/>
    <w:rsid w:val="00566B8C"/>
    <w:rsid w:val="00566CFE"/>
    <w:rsid w:val="00567239"/>
    <w:rsid w:val="00567243"/>
    <w:rsid w:val="0056769D"/>
    <w:rsid w:val="00567F72"/>
    <w:rsid w:val="0057085A"/>
    <w:rsid w:val="005708EE"/>
    <w:rsid w:val="005709F9"/>
    <w:rsid w:val="00570C9B"/>
    <w:rsid w:val="00571ED7"/>
    <w:rsid w:val="0057210A"/>
    <w:rsid w:val="00572368"/>
    <w:rsid w:val="00573A37"/>
    <w:rsid w:val="00573BB4"/>
    <w:rsid w:val="00574A06"/>
    <w:rsid w:val="00574AA4"/>
    <w:rsid w:val="00575230"/>
    <w:rsid w:val="00575967"/>
    <w:rsid w:val="00576136"/>
    <w:rsid w:val="00576C0A"/>
    <w:rsid w:val="00577631"/>
    <w:rsid w:val="005777EA"/>
    <w:rsid w:val="00577DA2"/>
    <w:rsid w:val="005807D4"/>
    <w:rsid w:val="00580E15"/>
    <w:rsid w:val="00581D95"/>
    <w:rsid w:val="00581F78"/>
    <w:rsid w:val="00582FC4"/>
    <w:rsid w:val="00583873"/>
    <w:rsid w:val="00583DB3"/>
    <w:rsid w:val="005842E8"/>
    <w:rsid w:val="00584972"/>
    <w:rsid w:val="00585371"/>
    <w:rsid w:val="00586159"/>
    <w:rsid w:val="00586374"/>
    <w:rsid w:val="00586455"/>
    <w:rsid w:val="00586B2D"/>
    <w:rsid w:val="00586D6B"/>
    <w:rsid w:val="00586EEC"/>
    <w:rsid w:val="00587556"/>
    <w:rsid w:val="00587E1D"/>
    <w:rsid w:val="00590CE2"/>
    <w:rsid w:val="005914F1"/>
    <w:rsid w:val="005915FE"/>
    <w:rsid w:val="00591A08"/>
    <w:rsid w:val="00592CA7"/>
    <w:rsid w:val="00593015"/>
    <w:rsid w:val="005932D7"/>
    <w:rsid w:val="00593E9B"/>
    <w:rsid w:val="005946F7"/>
    <w:rsid w:val="0059492E"/>
    <w:rsid w:val="005952E0"/>
    <w:rsid w:val="00595387"/>
    <w:rsid w:val="005956E6"/>
    <w:rsid w:val="005957D4"/>
    <w:rsid w:val="00595AA8"/>
    <w:rsid w:val="00595C98"/>
    <w:rsid w:val="00595E75"/>
    <w:rsid w:val="0059754A"/>
    <w:rsid w:val="00597708"/>
    <w:rsid w:val="005A0196"/>
    <w:rsid w:val="005A08AD"/>
    <w:rsid w:val="005A0B62"/>
    <w:rsid w:val="005A0C4E"/>
    <w:rsid w:val="005A1132"/>
    <w:rsid w:val="005A12FB"/>
    <w:rsid w:val="005A2270"/>
    <w:rsid w:val="005A3441"/>
    <w:rsid w:val="005A34E4"/>
    <w:rsid w:val="005A4154"/>
    <w:rsid w:val="005A4B2F"/>
    <w:rsid w:val="005A4B31"/>
    <w:rsid w:val="005A5BC3"/>
    <w:rsid w:val="005A5DBA"/>
    <w:rsid w:val="005A62DD"/>
    <w:rsid w:val="005A63B6"/>
    <w:rsid w:val="005A65FA"/>
    <w:rsid w:val="005A72C8"/>
    <w:rsid w:val="005B026F"/>
    <w:rsid w:val="005B0491"/>
    <w:rsid w:val="005B072C"/>
    <w:rsid w:val="005B166A"/>
    <w:rsid w:val="005B1680"/>
    <w:rsid w:val="005B1BCB"/>
    <w:rsid w:val="005B231F"/>
    <w:rsid w:val="005B2D00"/>
    <w:rsid w:val="005B2F9D"/>
    <w:rsid w:val="005B4926"/>
    <w:rsid w:val="005B4D43"/>
    <w:rsid w:val="005B651F"/>
    <w:rsid w:val="005B706F"/>
    <w:rsid w:val="005B793E"/>
    <w:rsid w:val="005C057B"/>
    <w:rsid w:val="005C0BDF"/>
    <w:rsid w:val="005C0FD0"/>
    <w:rsid w:val="005C1342"/>
    <w:rsid w:val="005C1B42"/>
    <w:rsid w:val="005C1F26"/>
    <w:rsid w:val="005C2DD8"/>
    <w:rsid w:val="005C2DE7"/>
    <w:rsid w:val="005C2F99"/>
    <w:rsid w:val="005C338C"/>
    <w:rsid w:val="005C3420"/>
    <w:rsid w:val="005C3A17"/>
    <w:rsid w:val="005C3C2E"/>
    <w:rsid w:val="005C3CF4"/>
    <w:rsid w:val="005C4422"/>
    <w:rsid w:val="005C4731"/>
    <w:rsid w:val="005C4C94"/>
    <w:rsid w:val="005C4FD9"/>
    <w:rsid w:val="005C54F7"/>
    <w:rsid w:val="005C5592"/>
    <w:rsid w:val="005C5A21"/>
    <w:rsid w:val="005C662A"/>
    <w:rsid w:val="005C6C52"/>
    <w:rsid w:val="005D03E6"/>
    <w:rsid w:val="005D0E01"/>
    <w:rsid w:val="005D1106"/>
    <w:rsid w:val="005D12B8"/>
    <w:rsid w:val="005D1372"/>
    <w:rsid w:val="005D16A7"/>
    <w:rsid w:val="005D1963"/>
    <w:rsid w:val="005D1B90"/>
    <w:rsid w:val="005D1F2E"/>
    <w:rsid w:val="005D2236"/>
    <w:rsid w:val="005D224E"/>
    <w:rsid w:val="005D26DA"/>
    <w:rsid w:val="005D28BE"/>
    <w:rsid w:val="005D2C6D"/>
    <w:rsid w:val="005D3063"/>
    <w:rsid w:val="005D39C3"/>
    <w:rsid w:val="005D3A9E"/>
    <w:rsid w:val="005D3CAE"/>
    <w:rsid w:val="005D3D09"/>
    <w:rsid w:val="005D432A"/>
    <w:rsid w:val="005D447E"/>
    <w:rsid w:val="005D49E8"/>
    <w:rsid w:val="005D4B6F"/>
    <w:rsid w:val="005D560E"/>
    <w:rsid w:val="005D619C"/>
    <w:rsid w:val="005D6D4D"/>
    <w:rsid w:val="005D6D6C"/>
    <w:rsid w:val="005D6E19"/>
    <w:rsid w:val="005E09D0"/>
    <w:rsid w:val="005E0A66"/>
    <w:rsid w:val="005E1B67"/>
    <w:rsid w:val="005E1E48"/>
    <w:rsid w:val="005E21C3"/>
    <w:rsid w:val="005E2239"/>
    <w:rsid w:val="005E2FF0"/>
    <w:rsid w:val="005E3499"/>
    <w:rsid w:val="005E401A"/>
    <w:rsid w:val="005E48CF"/>
    <w:rsid w:val="005E4955"/>
    <w:rsid w:val="005E49C8"/>
    <w:rsid w:val="005E4EE4"/>
    <w:rsid w:val="005E5125"/>
    <w:rsid w:val="005E5657"/>
    <w:rsid w:val="005E5D36"/>
    <w:rsid w:val="005E6B97"/>
    <w:rsid w:val="005E6BF2"/>
    <w:rsid w:val="005E6FA8"/>
    <w:rsid w:val="005E7209"/>
    <w:rsid w:val="005E7C05"/>
    <w:rsid w:val="005F0D27"/>
    <w:rsid w:val="005F167A"/>
    <w:rsid w:val="005F1A95"/>
    <w:rsid w:val="005F212A"/>
    <w:rsid w:val="005F25A3"/>
    <w:rsid w:val="005F29BD"/>
    <w:rsid w:val="005F3A51"/>
    <w:rsid w:val="005F4197"/>
    <w:rsid w:val="005F4D63"/>
    <w:rsid w:val="005F4DF0"/>
    <w:rsid w:val="005F5197"/>
    <w:rsid w:val="005F5447"/>
    <w:rsid w:val="005F567F"/>
    <w:rsid w:val="005F5C6B"/>
    <w:rsid w:val="005F5ECA"/>
    <w:rsid w:val="005F6357"/>
    <w:rsid w:val="005F6FF1"/>
    <w:rsid w:val="005F73E5"/>
    <w:rsid w:val="006009EB"/>
    <w:rsid w:val="00601C59"/>
    <w:rsid w:val="00601FF1"/>
    <w:rsid w:val="00602827"/>
    <w:rsid w:val="00603946"/>
    <w:rsid w:val="00603DB0"/>
    <w:rsid w:val="006040FE"/>
    <w:rsid w:val="00604CFE"/>
    <w:rsid w:val="00604E5E"/>
    <w:rsid w:val="006052A0"/>
    <w:rsid w:val="00605440"/>
    <w:rsid w:val="00605810"/>
    <w:rsid w:val="00606233"/>
    <w:rsid w:val="00606661"/>
    <w:rsid w:val="00606A6F"/>
    <w:rsid w:val="00606F6F"/>
    <w:rsid w:val="0060762C"/>
    <w:rsid w:val="00607FC1"/>
    <w:rsid w:val="00610B2E"/>
    <w:rsid w:val="00610C73"/>
    <w:rsid w:val="006113EC"/>
    <w:rsid w:val="00612008"/>
    <w:rsid w:val="0061373A"/>
    <w:rsid w:val="00613B26"/>
    <w:rsid w:val="0061484F"/>
    <w:rsid w:val="00614E52"/>
    <w:rsid w:val="00614F40"/>
    <w:rsid w:val="00615776"/>
    <w:rsid w:val="00615B02"/>
    <w:rsid w:val="00615B7D"/>
    <w:rsid w:val="006163C5"/>
    <w:rsid w:val="00620693"/>
    <w:rsid w:val="00620AF8"/>
    <w:rsid w:val="006212E4"/>
    <w:rsid w:val="006217F6"/>
    <w:rsid w:val="00621BC7"/>
    <w:rsid w:val="00622FED"/>
    <w:rsid w:val="00623132"/>
    <w:rsid w:val="00623A96"/>
    <w:rsid w:val="0062447A"/>
    <w:rsid w:val="00625535"/>
    <w:rsid w:val="006255C5"/>
    <w:rsid w:val="00625886"/>
    <w:rsid w:val="00625CDE"/>
    <w:rsid w:val="00625CE7"/>
    <w:rsid w:val="00625EA6"/>
    <w:rsid w:val="00626014"/>
    <w:rsid w:val="00627928"/>
    <w:rsid w:val="00630A4C"/>
    <w:rsid w:val="00631054"/>
    <w:rsid w:val="006310D5"/>
    <w:rsid w:val="00631153"/>
    <w:rsid w:val="00631385"/>
    <w:rsid w:val="006320B6"/>
    <w:rsid w:val="00632229"/>
    <w:rsid w:val="00632B23"/>
    <w:rsid w:val="00632F9D"/>
    <w:rsid w:val="006332B9"/>
    <w:rsid w:val="00633B0A"/>
    <w:rsid w:val="00633EEB"/>
    <w:rsid w:val="00633FFB"/>
    <w:rsid w:val="00635775"/>
    <w:rsid w:val="00636F75"/>
    <w:rsid w:val="00637F88"/>
    <w:rsid w:val="006403A5"/>
    <w:rsid w:val="006405A8"/>
    <w:rsid w:val="00640747"/>
    <w:rsid w:val="0064190B"/>
    <w:rsid w:val="00641CE5"/>
    <w:rsid w:val="00642DEE"/>
    <w:rsid w:val="00642EE4"/>
    <w:rsid w:val="0064328F"/>
    <w:rsid w:val="006434CC"/>
    <w:rsid w:val="00643F3B"/>
    <w:rsid w:val="006445DB"/>
    <w:rsid w:val="00645245"/>
    <w:rsid w:val="00645467"/>
    <w:rsid w:val="00646B3F"/>
    <w:rsid w:val="006470B7"/>
    <w:rsid w:val="0064753C"/>
    <w:rsid w:val="00647592"/>
    <w:rsid w:val="00647CDD"/>
    <w:rsid w:val="00647D10"/>
    <w:rsid w:val="00647E07"/>
    <w:rsid w:val="00647ED2"/>
    <w:rsid w:val="00650780"/>
    <w:rsid w:val="00650BDC"/>
    <w:rsid w:val="00650EDE"/>
    <w:rsid w:val="006510D8"/>
    <w:rsid w:val="00651A2A"/>
    <w:rsid w:val="00651AEC"/>
    <w:rsid w:val="00652F2E"/>
    <w:rsid w:val="006531C6"/>
    <w:rsid w:val="006536A8"/>
    <w:rsid w:val="00653C4F"/>
    <w:rsid w:val="00653D8B"/>
    <w:rsid w:val="006545C6"/>
    <w:rsid w:val="006550EE"/>
    <w:rsid w:val="00655B2E"/>
    <w:rsid w:val="0065617E"/>
    <w:rsid w:val="0065618C"/>
    <w:rsid w:val="006565B6"/>
    <w:rsid w:val="0065685B"/>
    <w:rsid w:val="006573C1"/>
    <w:rsid w:val="0066039E"/>
    <w:rsid w:val="00660592"/>
    <w:rsid w:val="00660AF8"/>
    <w:rsid w:val="00660E76"/>
    <w:rsid w:val="00661B46"/>
    <w:rsid w:val="00661C04"/>
    <w:rsid w:val="00662537"/>
    <w:rsid w:val="00663B11"/>
    <w:rsid w:val="00663F59"/>
    <w:rsid w:val="006646AC"/>
    <w:rsid w:val="00664CA0"/>
    <w:rsid w:val="00665679"/>
    <w:rsid w:val="00665FAA"/>
    <w:rsid w:val="00666E29"/>
    <w:rsid w:val="006672AA"/>
    <w:rsid w:val="0066754A"/>
    <w:rsid w:val="00667688"/>
    <w:rsid w:val="006679CC"/>
    <w:rsid w:val="00667D1A"/>
    <w:rsid w:val="00667F4F"/>
    <w:rsid w:val="0067003E"/>
    <w:rsid w:val="00670247"/>
    <w:rsid w:val="006709EC"/>
    <w:rsid w:val="00670AAF"/>
    <w:rsid w:val="006715C8"/>
    <w:rsid w:val="0067175F"/>
    <w:rsid w:val="00671DCC"/>
    <w:rsid w:val="00671E17"/>
    <w:rsid w:val="006724D2"/>
    <w:rsid w:val="0067325E"/>
    <w:rsid w:val="0067346B"/>
    <w:rsid w:val="00673655"/>
    <w:rsid w:val="00673762"/>
    <w:rsid w:val="0067392C"/>
    <w:rsid w:val="00673A87"/>
    <w:rsid w:val="0067618E"/>
    <w:rsid w:val="006761FA"/>
    <w:rsid w:val="006765F0"/>
    <w:rsid w:val="006769F5"/>
    <w:rsid w:val="00676BB5"/>
    <w:rsid w:val="006773E3"/>
    <w:rsid w:val="006775CF"/>
    <w:rsid w:val="00677E14"/>
    <w:rsid w:val="0068013F"/>
    <w:rsid w:val="006802A2"/>
    <w:rsid w:val="00680DE7"/>
    <w:rsid w:val="00681CB0"/>
    <w:rsid w:val="00681E96"/>
    <w:rsid w:val="00681FEC"/>
    <w:rsid w:val="006824C5"/>
    <w:rsid w:val="00682A46"/>
    <w:rsid w:val="00682EE4"/>
    <w:rsid w:val="0068301D"/>
    <w:rsid w:val="006830E4"/>
    <w:rsid w:val="006831AD"/>
    <w:rsid w:val="0068325F"/>
    <w:rsid w:val="00683686"/>
    <w:rsid w:val="006846A7"/>
    <w:rsid w:val="00684929"/>
    <w:rsid w:val="00684D74"/>
    <w:rsid w:val="00684F06"/>
    <w:rsid w:val="00685CF1"/>
    <w:rsid w:val="00686050"/>
    <w:rsid w:val="00686233"/>
    <w:rsid w:val="00686F70"/>
    <w:rsid w:val="006875CB"/>
    <w:rsid w:val="00687D6C"/>
    <w:rsid w:val="0069014B"/>
    <w:rsid w:val="006908B0"/>
    <w:rsid w:val="00690951"/>
    <w:rsid w:val="00690B2A"/>
    <w:rsid w:val="00690D87"/>
    <w:rsid w:val="00690D92"/>
    <w:rsid w:val="0069257C"/>
    <w:rsid w:val="00692A2B"/>
    <w:rsid w:val="00692A7F"/>
    <w:rsid w:val="00693462"/>
    <w:rsid w:val="00693579"/>
    <w:rsid w:val="00693582"/>
    <w:rsid w:val="00693635"/>
    <w:rsid w:val="006937E7"/>
    <w:rsid w:val="006946C0"/>
    <w:rsid w:val="00694CAD"/>
    <w:rsid w:val="00696CD8"/>
    <w:rsid w:val="00697030"/>
    <w:rsid w:val="006970FD"/>
    <w:rsid w:val="0069723C"/>
    <w:rsid w:val="006973FF"/>
    <w:rsid w:val="0069757D"/>
    <w:rsid w:val="006A006A"/>
    <w:rsid w:val="006A0620"/>
    <w:rsid w:val="006A063A"/>
    <w:rsid w:val="006A0E6D"/>
    <w:rsid w:val="006A2736"/>
    <w:rsid w:val="006A2809"/>
    <w:rsid w:val="006A3B89"/>
    <w:rsid w:val="006A3BE6"/>
    <w:rsid w:val="006A5088"/>
    <w:rsid w:val="006A50DF"/>
    <w:rsid w:val="006A5259"/>
    <w:rsid w:val="006A609A"/>
    <w:rsid w:val="006A6EF1"/>
    <w:rsid w:val="006A7308"/>
    <w:rsid w:val="006A7529"/>
    <w:rsid w:val="006A75C8"/>
    <w:rsid w:val="006A7E8F"/>
    <w:rsid w:val="006B006E"/>
    <w:rsid w:val="006B0507"/>
    <w:rsid w:val="006B1CDB"/>
    <w:rsid w:val="006B20FA"/>
    <w:rsid w:val="006B38EB"/>
    <w:rsid w:val="006B3958"/>
    <w:rsid w:val="006B4002"/>
    <w:rsid w:val="006B42AA"/>
    <w:rsid w:val="006B4A17"/>
    <w:rsid w:val="006B542D"/>
    <w:rsid w:val="006B56E8"/>
    <w:rsid w:val="006B7E8B"/>
    <w:rsid w:val="006C0275"/>
    <w:rsid w:val="006C0369"/>
    <w:rsid w:val="006C0371"/>
    <w:rsid w:val="006C0579"/>
    <w:rsid w:val="006C075F"/>
    <w:rsid w:val="006C0E15"/>
    <w:rsid w:val="006C1038"/>
    <w:rsid w:val="006C115B"/>
    <w:rsid w:val="006C1870"/>
    <w:rsid w:val="006C1E13"/>
    <w:rsid w:val="006C2E74"/>
    <w:rsid w:val="006C3863"/>
    <w:rsid w:val="006C4B89"/>
    <w:rsid w:val="006C4CB0"/>
    <w:rsid w:val="006C4D0C"/>
    <w:rsid w:val="006C4F3F"/>
    <w:rsid w:val="006C5347"/>
    <w:rsid w:val="006C61ED"/>
    <w:rsid w:val="006C678E"/>
    <w:rsid w:val="006C7136"/>
    <w:rsid w:val="006C7936"/>
    <w:rsid w:val="006C7B2D"/>
    <w:rsid w:val="006D0586"/>
    <w:rsid w:val="006D08B4"/>
    <w:rsid w:val="006D0953"/>
    <w:rsid w:val="006D0A0C"/>
    <w:rsid w:val="006D2017"/>
    <w:rsid w:val="006D26FC"/>
    <w:rsid w:val="006D29BB"/>
    <w:rsid w:val="006D302B"/>
    <w:rsid w:val="006D3FA5"/>
    <w:rsid w:val="006D4143"/>
    <w:rsid w:val="006D4265"/>
    <w:rsid w:val="006D4274"/>
    <w:rsid w:val="006D4815"/>
    <w:rsid w:val="006D5C4D"/>
    <w:rsid w:val="006D630C"/>
    <w:rsid w:val="006D6C13"/>
    <w:rsid w:val="006D723F"/>
    <w:rsid w:val="006D7641"/>
    <w:rsid w:val="006D7953"/>
    <w:rsid w:val="006E0826"/>
    <w:rsid w:val="006E0FE0"/>
    <w:rsid w:val="006E172A"/>
    <w:rsid w:val="006E18DF"/>
    <w:rsid w:val="006E24C3"/>
    <w:rsid w:val="006E24DF"/>
    <w:rsid w:val="006E267B"/>
    <w:rsid w:val="006E277D"/>
    <w:rsid w:val="006E365A"/>
    <w:rsid w:val="006E3792"/>
    <w:rsid w:val="006E3A12"/>
    <w:rsid w:val="006E3B29"/>
    <w:rsid w:val="006E4650"/>
    <w:rsid w:val="006E535D"/>
    <w:rsid w:val="006E59D8"/>
    <w:rsid w:val="006E6128"/>
    <w:rsid w:val="006E6341"/>
    <w:rsid w:val="006E6AEC"/>
    <w:rsid w:val="006E6EBF"/>
    <w:rsid w:val="006E7861"/>
    <w:rsid w:val="006E7AAD"/>
    <w:rsid w:val="006F0892"/>
    <w:rsid w:val="006F0F17"/>
    <w:rsid w:val="006F18EC"/>
    <w:rsid w:val="006F1E2D"/>
    <w:rsid w:val="006F217B"/>
    <w:rsid w:val="006F2307"/>
    <w:rsid w:val="006F24A3"/>
    <w:rsid w:val="006F2CF0"/>
    <w:rsid w:val="006F3177"/>
    <w:rsid w:val="006F3200"/>
    <w:rsid w:val="006F35B8"/>
    <w:rsid w:val="006F540A"/>
    <w:rsid w:val="006F602A"/>
    <w:rsid w:val="006F6E9E"/>
    <w:rsid w:val="006F75B3"/>
    <w:rsid w:val="006F768C"/>
    <w:rsid w:val="007001D6"/>
    <w:rsid w:val="00700367"/>
    <w:rsid w:val="0070065A"/>
    <w:rsid w:val="0070081F"/>
    <w:rsid w:val="00700A2C"/>
    <w:rsid w:val="00700DF7"/>
    <w:rsid w:val="00701960"/>
    <w:rsid w:val="007019F9"/>
    <w:rsid w:val="007021D6"/>
    <w:rsid w:val="00702223"/>
    <w:rsid w:val="007024DF"/>
    <w:rsid w:val="00702633"/>
    <w:rsid w:val="00702C0A"/>
    <w:rsid w:val="007032D1"/>
    <w:rsid w:val="007032F7"/>
    <w:rsid w:val="00703FB3"/>
    <w:rsid w:val="007041D7"/>
    <w:rsid w:val="00705A70"/>
    <w:rsid w:val="00705E1E"/>
    <w:rsid w:val="007064ED"/>
    <w:rsid w:val="007072E5"/>
    <w:rsid w:val="00707B8F"/>
    <w:rsid w:val="00707D15"/>
    <w:rsid w:val="00710152"/>
    <w:rsid w:val="007101EB"/>
    <w:rsid w:val="007102C1"/>
    <w:rsid w:val="00710FF1"/>
    <w:rsid w:val="0071126A"/>
    <w:rsid w:val="00711FB3"/>
    <w:rsid w:val="007122D8"/>
    <w:rsid w:val="0071262B"/>
    <w:rsid w:val="00712A38"/>
    <w:rsid w:val="007130D4"/>
    <w:rsid w:val="007132F1"/>
    <w:rsid w:val="00713BB4"/>
    <w:rsid w:val="00714177"/>
    <w:rsid w:val="007143C1"/>
    <w:rsid w:val="007148A0"/>
    <w:rsid w:val="007148FB"/>
    <w:rsid w:val="007152B1"/>
    <w:rsid w:val="007157D4"/>
    <w:rsid w:val="00716264"/>
    <w:rsid w:val="007168B5"/>
    <w:rsid w:val="00717C0A"/>
    <w:rsid w:val="00717C3E"/>
    <w:rsid w:val="007209A1"/>
    <w:rsid w:val="007217F7"/>
    <w:rsid w:val="00721D9B"/>
    <w:rsid w:val="007221A0"/>
    <w:rsid w:val="00722CEA"/>
    <w:rsid w:val="00723FBC"/>
    <w:rsid w:val="0072406B"/>
    <w:rsid w:val="00724B8E"/>
    <w:rsid w:val="00724B9D"/>
    <w:rsid w:val="00724D8A"/>
    <w:rsid w:val="0072519A"/>
    <w:rsid w:val="007256AA"/>
    <w:rsid w:val="00725D1B"/>
    <w:rsid w:val="0072733B"/>
    <w:rsid w:val="00727403"/>
    <w:rsid w:val="007276D9"/>
    <w:rsid w:val="00727E94"/>
    <w:rsid w:val="007308C5"/>
    <w:rsid w:val="00730A0E"/>
    <w:rsid w:val="00730C23"/>
    <w:rsid w:val="00731103"/>
    <w:rsid w:val="0073131D"/>
    <w:rsid w:val="00731A0E"/>
    <w:rsid w:val="00733C66"/>
    <w:rsid w:val="00733C76"/>
    <w:rsid w:val="007342B5"/>
    <w:rsid w:val="00734C18"/>
    <w:rsid w:val="00735DAC"/>
    <w:rsid w:val="0073600E"/>
    <w:rsid w:val="0073628A"/>
    <w:rsid w:val="00736BE3"/>
    <w:rsid w:val="00736C9D"/>
    <w:rsid w:val="007373E0"/>
    <w:rsid w:val="007374DD"/>
    <w:rsid w:val="00737BA3"/>
    <w:rsid w:val="00740793"/>
    <w:rsid w:val="00741868"/>
    <w:rsid w:val="00741BF1"/>
    <w:rsid w:val="007424B9"/>
    <w:rsid w:val="00742570"/>
    <w:rsid w:val="007426D7"/>
    <w:rsid w:val="00742718"/>
    <w:rsid w:val="0074402A"/>
    <w:rsid w:val="00744BCE"/>
    <w:rsid w:val="00745ACE"/>
    <w:rsid w:val="007460ED"/>
    <w:rsid w:val="00746B71"/>
    <w:rsid w:val="00746C6E"/>
    <w:rsid w:val="00746E30"/>
    <w:rsid w:val="007501B0"/>
    <w:rsid w:val="0075040C"/>
    <w:rsid w:val="0075067A"/>
    <w:rsid w:val="007507FE"/>
    <w:rsid w:val="0075140F"/>
    <w:rsid w:val="00752076"/>
    <w:rsid w:val="00752482"/>
    <w:rsid w:val="00752935"/>
    <w:rsid w:val="00752DAC"/>
    <w:rsid w:val="00753608"/>
    <w:rsid w:val="0075375E"/>
    <w:rsid w:val="0075399A"/>
    <w:rsid w:val="0075418F"/>
    <w:rsid w:val="007549D9"/>
    <w:rsid w:val="007554CA"/>
    <w:rsid w:val="0075580E"/>
    <w:rsid w:val="0075641E"/>
    <w:rsid w:val="007564B9"/>
    <w:rsid w:val="007571AE"/>
    <w:rsid w:val="00757439"/>
    <w:rsid w:val="00757B17"/>
    <w:rsid w:val="00757F59"/>
    <w:rsid w:val="007601F0"/>
    <w:rsid w:val="00760C5E"/>
    <w:rsid w:val="0076133D"/>
    <w:rsid w:val="0076163D"/>
    <w:rsid w:val="007619C5"/>
    <w:rsid w:val="00761C42"/>
    <w:rsid w:val="00761F94"/>
    <w:rsid w:val="00761FCD"/>
    <w:rsid w:val="00762179"/>
    <w:rsid w:val="007626B5"/>
    <w:rsid w:val="007628D7"/>
    <w:rsid w:val="00762990"/>
    <w:rsid w:val="00762BEC"/>
    <w:rsid w:val="007636BA"/>
    <w:rsid w:val="007636E0"/>
    <w:rsid w:val="007638A4"/>
    <w:rsid w:val="007642FD"/>
    <w:rsid w:val="00765E50"/>
    <w:rsid w:val="0076612B"/>
    <w:rsid w:val="0076689A"/>
    <w:rsid w:val="007669F9"/>
    <w:rsid w:val="00767694"/>
    <w:rsid w:val="007677AA"/>
    <w:rsid w:val="00767842"/>
    <w:rsid w:val="00767EDE"/>
    <w:rsid w:val="0077086B"/>
    <w:rsid w:val="00771563"/>
    <w:rsid w:val="00771BCB"/>
    <w:rsid w:val="00772462"/>
    <w:rsid w:val="00773121"/>
    <w:rsid w:val="0077319C"/>
    <w:rsid w:val="00773923"/>
    <w:rsid w:val="00773ABC"/>
    <w:rsid w:val="00773ADD"/>
    <w:rsid w:val="00773DA3"/>
    <w:rsid w:val="00774714"/>
    <w:rsid w:val="0077479E"/>
    <w:rsid w:val="0077492D"/>
    <w:rsid w:val="00775366"/>
    <w:rsid w:val="007758FE"/>
    <w:rsid w:val="00776802"/>
    <w:rsid w:val="00776CB6"/>
    <w:rsid w:val="00777023"/>
    <w:rsid w:val="007773BB"/>
    <w:rsid w:val="0077742B"/>
    <w:rsid w:val="00777526"/>
    <w:rsid w:val="0078008E"/>
    <w:rsid w:val="00780B10"/>
    <w:rsid w:val="00780F75"/>
    <w:rsid w:val="007822E6"/>
    <w:rsid w:val="0078278A"/>
    <w:rsid w:val="00782FB5"/>
    <w:rsid w:val="00783B7B"/>
    <w:rsid w:val="00783B96"/>
    <w:rsid w:val="00784BB6"/>
    <w:rsid w:val="007854F2"/>
    <w:rsid w:val="007857BB"/>
    <w:rsid w:val="007861DE"/>
    <w:rsid w:val="0078628B"/>
    <w:rsid w:val="00786A5B"/>
    <w:rsid w:val="0078750A"/>
    <w:rsid w:val="0079071F"/>
    <w:rsid w:val="007917DE"/>
    <w:rsid w:val="0079252B"/>
    <w:rsid w:val="00792556"/>
    <w:rsid w:val="00793F0E"/>
    <w:rsid w:val="007945AE"/>
    <w:rsid w:val="00795696"/>
    <w:rsid w:val="0079595D"/>
    <w:rsid w:val="00796739"/>
    <w:rsid w:val="0079674F"/>
    <w:rsid w:val="007968CF"/>
    <w:rsid w:val="00796B58"/>
    <w:rsid w:val="00796C8A"/>
    <w:rsid w:val="007973C3"/>
    <w:rsid w:val="007978D4"/>
    <w:rsid w:val="00797C4D"/>
    <w:rsid w:val="00797D5E"/>
    <w:rsid w:val="00797D70"/>
    <w:rsid w:val="00797FC4"/>
    <w:rsid w:val="007A0216"/>
    <w:rsid w:val="007A0579"/>
    <w:rsid w:val="007A16A7"/>
    <w:rsid w:val="007A189A"/>
    <w:rsid w:val="007A23DB"/>
    <w:rsid w:val="007A31EB"/>
    <w:rsid w:val="007A520C"/>
    <w:rsid w:val="007A5328"/>
    <w:rsid w:val="007A5B5B"/>
    <w:rsid w:val="007A5BA1"/>
    <w:rsid w:val="007A69DA"/>
    <w:rsid w:val="007A7257"/>
    <w:rsid w:val="007A79D6"/>
    <w:rsid w:val="007A7DA5"/>
    <w:rsid w:val="007B0655"/>
    <w:rsid w:val="007B06BD"/>
    <w:rsid w:val="007B0B43"/>
    <w:rsid w:val="007B140D"/>
    <w:rsid w:val="007B186D"/>
    <w:rsid w:val="007B19EC"/>
    <w:rsid w:val="007B1A16"/>
    <w:rsid w:val="007B1BF8"/>
    <w:rsid w:val="007B3988"/>
    <w:rsid w:val="007B3B78"/>
    <w:rsid w:val="007B6388"/>
    <w:rsid w:val="007B7177"/>
    <w:rsid w:val="007B7345"/>
    <w:rsid w:val="007B78E6"/>
    <w:rsid w:val="007B7A76"/>
    <w:rsid w:val="007C0947"/>
    <w:rsid w:val="007C1276"/>
    <w:rsid w:val="007C1301"/>
    <w:rsid w:val="007C18E4"/>
    <w:rsid w:val="007C1F91"/>
    <w:rsid w:val="007C2A67"/>
    <w:rsid w:val="007C2F66"/>
    <w:rsid w:val="007C2FDD"/>
    <w:rsid w:val="007C31A8"/>
    <w:rsid w:val="007C31C2"/>
    <w:rsid w:val="007C3CA2"/>
    <w:rsid w:val="007C3D92"/>
    <w:rsid w:val="007C3F3D"/>
    <w:rsid w:val="007C4D3B"/>
    <w:rsid w:val="007C4F40"/>
    <w:rsid w:val="007C6124"/>
    <w:rsid w:val="007C62CE"/>
    <w:rsid w:val="007C785C"/>
    <w:rsid w:val="007C79A2"/>
    <w:rsid w:val="007D04E3"/>
    <w:rsid w:val="007D207A"/>
    <w:rsid w:val="007D26A6"/>
    <w:rsid w:val="007D32B5"/>
    <w:rsid w:val="007D349A"/>
    <w:rsid w:val="007D48CC"/>
    <w:rsid w:val="007D5A18"/>
    <w:rsid w:val="007D5D90"/>
    <w:rsid w:val="007D6190"/>
    <w:rsid w:val="007D62B9"/>
    <w:rsid w:val="007D761D"/>
    <w:rsid w:val="007D7D18"/>
    <w:rsid w:val="007D7DD6"/>
    <w:rsid w:val="007D7FB1"/>
    <w:rsid w:val="007E0976"/>
    <w:rsid w:val="007E0BFD"/>
    <w:rsid w:val="007E14BF"/>
    <w:rsid w:val="007E26DF"/>
    <w:rsid w:val="007E33AD"/>
    <w:rsid w:val="007E4402"/>
    <w:rsid w:val="007E4748"/>
    <w:rsid w:val="007E4805"/>
    <w:rsid w:val="007E645F"/>
    <w:rsid w:val="007E67CC"/>
    <w:rsid w:val="007E68C5"/>
    <w:rsid w:val="007E6ADD"/>
    <w:rsid w:val="007E6C9A"/>
    <w:rsid w:val="007E6F2A"/>
    <w:rsid w:val="007E7543"/>
    <w:rsid w:val="007E79C9"/>
    <w:rsid w:val="007F0283"/>
    <w:rsid w:val="007F0806"/>
    <w:rsid w:val="007F1424"/>
    <w:rsid w:val="007F1904"/>
    <w:rsid w:val="007F27E6"/>
    <w:rsid w:val="007F28DF"/>
    <w:rsid w:val="007F2A81"/>
    <w:rsid w:val="007F35F1"/>
    <w:rsid w:val="007F36DB"/>
    <w:rsid w:val="007F45F7"/>
    <w:rsid w:val="007F4B65"/>
    <w:rsid w:val="007F4CEE"/>
    <w:rsid w:val="007F4D2A"/>
    <w:rsid w:val="007F4D4A"/>
    <w:rsid w:val="007F5569"/>
    <w:rsid w:val="007F57A1"/>
    <w:rsid w:val="007F5802"/>
    <w:rsid w:val="007F589C"/>
    <w:rsid w:val="007F5D51"/>
    <w:rsid w:val="007F66A3"/>
    <w:rsid w:val="007F6806"/>
    <w:rsid w:val="007F6AD1"/>
    <w:rsid w:val="00800274"/>
    <w:rsid w:val="00801BB3"/>
    <w:rsid w:val="00801BFE"/>
    <w:rsid w:val="00801FAE"/>
    <w:rsid w:val="00803B0F"/>
    <w:rsid w:val="00804894"/>
    <w:rsid w:val="00804F69"/>
    <w:rsid w:val="00806469"/>
    <w:rsid w:val="008064B1"/>
    <w:rsid w:val="00806520"/>
    <w:rsid w:val="008079A9"/>
    <w:rsid w:val="00807F8A"/>
    <w:rsid w:val="0081004F"/>
    <w:rsid w:val="0081065C"/>
    <w:rsid w:val="008113D7"/>
    <w:rsid w:val="00812CA3"/>
    <w:rsid w:val="00813014"/>
    <w:rsid w:val="00813176"/>
    <w:rsid w:val="00813C2E"/>
    <w:rsid w:val="008145BF"/>
    <w:rsid w:val="0081485B"/>
    <w:rsid w:val="008161DD"/>
    <w:rsid w:val="008174E7"/>
    <w:rsid w:val="00817BAA"/>
    <w:rsid w:val="00820C6D"/>
    <w:rsid w:val="00821FD3"/>
    <w:rsid w:val="008220D5"/>
    <w:rsid w:val="00823271"/>
    <w:rsid w:val="008234C2"/>
    <w:rsid w:val="008235D4"/>
    <w:rsid w:val="0082374A"/>
    <w:rsid w:val="008237D7"/>
    <w:rsid w:val="00823D7E"/>
    <w:rsid w:val="00823FCB"/>
    <w:rsid w:val="008240B4"/>
    <w:rsid w:val="0082421D"/>
    <w:rsid w:val="00824AE4"/>
    <w:rsid w:val="008257D9"/>
    <w:rsid w:val="008257DA"/>
    <w:rsid w:val="00825804"/>
    <w:rsid w:val="00827138"/>
    <w:rsid w:val="008313BD"/>
    <w:rsid w:val="008319C1"/>
    <w:rsid w:val="00831DF7"/>
    <w:rsid w:val="008321C1"/>
    <w:rsid w:val="008324CA"/>
    <w:rsid w:val="008332C2"/>
    <w:rsid w:val="00833344"/>
    <w:rsid w:val="008336E3"/>
    <w:rsid w:val="00833AAB"/>
    <w:rsid w:val="00833F6B"/>
    <w:rsid w:val="00834BF1"/>
    <w:rsid w:val="00835B0D"/>
    <w:rsid w:val="008360C0"/>
    <w:rsid w:val="0083626F"/>
    <w:rsid w:val="00836C6D"/>
    <w:rsid w:val="00836D41"/>
    <w:rsid w:val="00837560"/>
    <w:rsid w:val="008377B4"/>
    <w:rsid w:val="00837D3F"/>
    <w:rsid w:val="0084023E"/>
    <w:rsid w:val="0084051F"/>
    <w:rsid w:val="00840A1E"/>
    <w:rsid w:val="00840FAF"/>
    <w:rsid w:val="008414C6"/>
    <w:rsid w:val="008415DF"/>
    <w:rsid w:val="00842014"/>
    <w:rsid w:val="00842559"/>
    <w:rsid w:val="00843B27"/>
    <w:rsid w:val="00843EA1"/>
    <w:rsid w:val="00844123"/>
    <w:rsid w:val="00844BC2"/>
    <w:rsid w:val="00844BCA"/>
    <w:rsid w:val="008452A0"/>
    <w:rsid w:val="008454F5"/>
    <w:rsid w:val="00845885"/>
    <w:rsid w:val="0084591D"/>
    <w:rsid w:val="00845A3B"/>
    <w:rsid w:val="00845D83"/>
    <w:rsid w:val="00846AB9"/>
    <w:rsid w:val="00847A78"/>
    <w:rsid w:val="00847BDB"/>
    <w:rsid w:val="00847EBE"/>
    <w:rsid w:val="00847FDC"/>
    <w:rsid w:val="00850868"/>
    <w:rsid w:val="00850C9F"/>
    <w:rsid w:val="0085139F"/>
    <w:rsid w:val="00851493"/>
    <w:rsid w:val="008521BC"/>
    <w:rsid w:val="008528D4"/>
    <w:rsid w:val="00852918"/>
    <w:rsid w:val="00852ACC"/>
    <w:rsid w:val="00852B31"/>
    <w:rsid w:val="0085343A"/>
    <w:rsid w:val="00853943"/>
    <w:rsid w:val="00853B65"/>
    <w:rsid w:val="00854800"/>
    <w:rsid w:val="0085481F"/>
    <w:rsid w:val="00854A98"/>
    <w:rsid w:val="00854BA5"/>
    <w:rsid w:val="00854EC5"/>
    <w:rsid w:val="00855CB8"/>
    <w:rsid w:val="008569EC"/>
    <w:rsid w:val="0085754D"/>
    <w:rsid w:val="00857595"/>
    <w:rsid w:val="00857B23"/>
    <w:rsid w:val="00857D6A"/>
    <w:rsid w:val="00860F35"/>
    <w:rsid w:val="00861612"/>
    <w:rsid w:val="00861A36"/>
    <w:rsid w:val="00862246"/>
    <w:rsid w:val="00862466"/>
    <w:rsid w:val="00862681"/>
    <w:rsid w:val="00862B0D"/>
    <w:rsid w:val="00862D92"/>
    <w:rsid w:val="008635E0"/>
    <w:rsid w:val="0086366F"/>
    <w:rsid w:val="00863A54"/>
    <w:rsid w:val="00863F0D"/>
    <w:rsid w:val="00864DF1"/>
    <w:rsid w:val="0086633F"/>
    <w:rsid w:val="00866985"/>
    <w:rsid w:val="008675D7"/>
    <w:rsid w:val="008676E6"/>
    <w:rsid w:val="00867838"/>
    <w:rsid w:val="0087081B"/>
    <w:rsid w:val="00870890"/>
    <w:rsid w:val="00870B7B"/>
    <w:rsid w:val="00871018"/>
    <w:rsid w:val="00871F00"/>
    <w:rsid w:val="00872157"/>
    <w:rsid w:val="008723A1"/>
    <w:rsid w:val="00872469"/>
    <w:rsid w:val="00872B34"/>
    <w:rsid w:val="00872E49"/>
    <w:rsid w:val="0087388B"/>
    <w:rsid w:val="008741D6"/>
    <w:rsid w:val="00874418"/>
    <w:rsid w:val="008745E2"/>
    <w:rsid w:val="00874967"/>
    <w:rsid w:val="00874BAA"/>
    <w:rsid w:val="0087597E"/>
    <w:rsid w:val="00875CE3"/>
    <w:rsid w:val="00876362"/>
    <w:rsid w:val="00876D07"/>
    <w:rsid w:val="00880758"/>
    <w:rsid w:val="008828C9"/>
    <w:rsid w:val="00885C9B"/>
    <w:rsid w:val="00885CB1"/>
    <w:rsid w:val="00886277"/>
    <w:rsid w:val="00886BAF"/>
    <w:rsid w:val="00887097"/>
    <w:rsid w:val="00887D92"/>
    <w:rsid w:val="0089006F"/>
    <w:rsid w:val="00890747"/>
    <w:rsid w:val="00890BAF"/>
    <w:rsid w:val="00890D02"/>
    <w:rsid w:val="00891CBE"/>
    <w:rsid w:val="00892542"/>
    <w:rsid w:val="00892783"/>
    <w:rsid w:val="008931DD"/>
    <w:rsid w:val="008932C7"/>
    <w:rsid w:val="00893B70"/>
    <w:rsid w:val="0089496C"/>
    <w:rsid w:val="00894F02"/>
    <w:rsid w:val="00895201"/>
    <w:rsid w:val="00895302"/>
    <w:rsid w:val="00895509"/>
    <w:rsid w:val="008969F2"/>
    <w:rsid w:val="00896E83"/>
    <w:rsid w:val="00896F15"/>
    <w:rsid w:val="008971DD"/>
    <w:rsid w:val="0089733E"/>
    <w:rsid w:val="00897808"/>
    <w:rsid w:val="00897F84"/>
    <w:rsid w:val="008A03BF"/>
    <w:rsid w:val="008A1365"/>
    <w:rsid w:val="008A14FC"/>
    <w:rsid w:val="008A15B0"/>
    <w:rsid w:val="008A1BE1"/>
    <w:rsid w:val="008A203F"/>
    <w:rsid w:val="008A20E3"/>
    <w:rsid w:val="008A23EE"/>
    <w:rsid w:val="008A29D9"/>
    <w:rsid w:val="008A39B9"/>
    <w:rsid w:val="008A3BD1"/>
    <w:rsid w:val="008A3ED8"/>
    <w:rsid w:val="008A58E7"/>
    <w:rsid w:val="008A6106"/>
    <w:rsid w:val="008A6280"/>
    <w:rsid w:val="008A6896"/>
    <w:rsid w:val="008A7B3F"/>
    <w:rsid w:val="008B02D0"/>
    <w:rsid w:val="008B033F"/>
    <w:rsid w:val="008B0591"/>
    <w:rsid w:val="008B0B0B"/>
    <w:rsid w:val="008B0D89"/>
    <w:rsid w:val="008B0FE9"/>
    <w:rsid w:val="008B1548"/>
    <w:rsid w:val="008B195C"/>
    <w:rsid w:val="008B2BBA"/>
    <w:rsid w:val="008B32AF"/>
    <w:rsid w:val="008B3B69"/>
    <w:rsid w:val="008B4916"/>
    <w:rsid w:val="008B5961"/>
    <w:rsid w:val="008B5E89"/>
    <w:rsid w:val="008B6457"/>
    <w:rsid w:val="008B6F7A"/>
    <w:rsid w:val="008B703C"/>
    <w:rsid w:val="008B7C99"/>
    <w:rsid w:val="008B7D2F"/>
    <w:rsid w:val="008C0F02"/>
    <w:rsid w:val="008C1269"/>
    <w:rsid w:val="008C1275"/>
    <w:rsid w:val="008C14E4"/>
    <w:rsid w:val="008C1CD4"/>
    <w:rsid w:val="008C21AE"/>
    <w:rsid w:val="008C267B"/>
    <w:rsid w:val="008C2A24"/>
    <w:rsid w:val="008C2AB6"/>
    <w:rsid w:val="008C2E18"/>
    <w:rsid w:val="008C33D1"/>
    <w:rsid w:val="008C41E9"/>
    <w:rsid w:val="008C550C"/>
    <w:rsid w:val="008C591C"/>
    <w:rsid w:val="008C59F4"/>
    <w:rsid w:val="008C5ADE"/>
    <w:rsid w:val="008C5B51"/>
    <w:rsid w:val="008C5E03"/>
    <w:rsid w:val="008C5E88"/>
    <w:rsid w:val="008C6902"/>
    <w:rsid w:val="008C690F"/>
    <w:rsid w:val="008C6924"/>
    <w:rsid w:val="008C75CD"/>
    <w:rsid w:val="008C7655"/>
    <w:rsid w:val="008C7D0C"/>
    <w:rsid w:val="008D0022"/>
    <w:rsid w:val="008D0293"/>
    <w:rsid w:val="008D081C"/>
    <w:rsid w:val="008D0F7E"/>
    <w:rsid w:val="008D1785"/>
    <w:rsid w:val="008D1DA6"/>
    <w:rsid w:val="008D2265"/>
    <w:rsid w:val="008D2964"/>
    <w:rsid w:val="008D3350"/>
    <w:rsid w:val="008D40E7"/>
    <w:rsid w:val="008D4240"/>
    <w:rsid w:val="008D5F98"/>
    <w:rsid w:val="008D64D0"/>
    <w:rsid w:val="008D6D01"/>
    <w:rsid w:val="008D74E1"/>
    <w:rsid w:val="008D7909"/>
    <w:rsid w:val="008D7FC6"/>
    <w:rsid w:val="008E0891"/>
    <w:rsid w:val="008E1027"/>
    <w:rsid w:val="008E1107"/>
    <w:rsid w:val="008E1A7A"/>
    <w:rsid w:val="008E2216"/>
    <w:rsid w:val="008E24C8"/>
    <w:rsid w:val="008E2B08"/>
    <w:rsid w:val="008E2B59"/>
    <w:rsid w:val="008E2E0E"/>
    <w:rsid w:val="008E3616"/>
    <w:rsid w:val="008E3832"/>
    <w:rsid w:val="008E38CD"/>
    <w:rsid w:val="008E4042"/>
    <w:rsid w:val="008E4884"/>
    <w:rsid w:val="008E4B25"/>
    <w:rsid w:val="008E4B82"/>
    <w:rsid w:val="008E4F9D"/>
    <w:rsid w:val="008E596C"/>
    <w:rsid w:val="008E5CA1"/>
    <w:rsid w:val="008E6F4D"/>
    <w:rsid w:val="008F0A3F"/>
    <w:rsid w:val="008F0FB0"/>
    <w:rsid w:val="008F1089"/>
    <w:rsid w:val="008F1815"/>
    <w:rsid w:val="008F3CEF"/>
    <w:rsid w:val="008F3D81"/>
    <w:rsid w:val="008F3D87"/>
    <w:rsid w:val="008F49C2"/>
    <w:rsid w:val="008F569B"/>
    <w:rsid w:val="008F61FD"/>
    <w:rsid w:val="008F640A"/>
    <w:rsid w:val="008F65B4"/>
    <w:rsid w:val="008F6A95"/>
    <w:rsid w:val="008F6DE6"/>
    <w:rsid w:val="008F7651"/>
    <w:rsid w:val="008F7BB3"/>
    <w:rsid w:val="009006A2"/>
    <w:rsid w:val="00900998"/>
    <w:rsid w:val="00900D01"/>
    <w:rsid w:val="00900D5D"/>
    <w:rsid w:val="00900E2B"/>
    <w:rsid w:val="00900EF5"/>
    <w:rsid w:val="009015DB"/>
    <w:rsid w:val="00901B4A"/>
    <w:rsid w:val="00902A01"/>
    <w:rsid w:val="00902D9E"/>
    <w:rsid w:val="00902F0E"/>
    <w:rsid w:val="009039B4"/>
    <w:rsid w:val="00903BA8"/>
    <w:rsid w:val="00904484"/>
    <w:rsid w:val="00904993"/>
    <w:rsid w:val="0090530D"/>
    <w:rsid w:val="009055B8"/>
    <w:rsid w:val="00905669"/>
    <w:rsid w:val="00906CCD"/>
    <w:rsid w:val="00907486"/>
    <w:rsid w:val="009078DE"/>
    <w:rsid w:val="00907BCF"/>
    <w:rsid w:val="009106E1"/>
    <w:rsid w:val="00910EDC"/>
    <w:rsid w:val="00911273"/>
    <w:rsid w:val="009114B7"/>
    <w:rsid w:val="00911696"/>
    <w:rsid w:val="00911CCE"/>
    <w:rsid w:val="00911CD3"/>
    <w:rsid w:val="00911FD4"/>
    <w:rsid w:val="009122CA"/>
    <w:rsid w:val="00912AD6"/>
    <w:rsid w:val="00913016"/>
    <w:rsid w:val="00913B88"/>
    <w:rsid w:val="009142A0"/>
    <w:rsid w:val="00915112"/>
    <w:rsid w:val="00916469"/>
    <w:rsid w:val="00916BBD"/>
    <w:rsid w:val="00916C04"/>
    <w:rsid w:val="00917E7E"/>
    <w:rsid w:val="00920403"/>
    <w:rsid w:val="00920E13"/>
    <w:rsid w:val="00921B30"/>
    <w:rsid w:val="009223EF"/>
    <w:rsid w:val="00922E94"/>
    <w:rsid w:val="009234BC"/>
    <w:rsid w:val="009235F0"/>
    <w:rsid w:val="00923ED1"/>
    <w:rsid w:val="009245F7"/>
    <w:rsid w:val="009246F5"/>
    <w:rsid w:val="009248FA"/>
    <w:rsid w:val="00924F9E"/>
    <w:rsid w:val="009250F8"/>
    <w:rsid w:val="00925836"/>
    <w:rsid w:val="00925D79"/>
    <w:rsid w:val="009260EB"/>
    <w:rsid w:val="009262CA"/>
    <w:rsid w:val="00926440"/>
    <w:rsid w:val="009265EB"/>
    <w:rsid w:val="009269C2"/>
    <w:rsid w:val="00927499"/>
    <w:rsid w:val="00927526"/>
    <w:rsid w:val="00927895"/>
    <w:rsid w:val="009306DF"/>
    <w:rsid w:val="00931978"/>
    <w:rsid w:val="0093218C"/>
    <w:rsid w:val="00932657"/>
    <w:rsid w:val="009327CE"/>
    <w:rsid w:val="00932843"/>
    <w:rsid w:val="009328B9"/>
    <w:rsid w:val="00932AB0"/>
    <w:rsid w:val="00932CCE"/>
    <w:rsid w:val="009330F4"/>
    <w:rsid w:val="00933581"/>
    <w:rsid w:val="00933E18"/>
    <w:rsid w:val="00933EEE"/>
    <w:rsid w:val="009340EA"/>
    <w:rsid w:val="00934994"/>
    <w:rsid w:val="00935051"/>
    <w:rsid w:val="00935258"/>
    <w:rsid w:val="0093531C"/>
    <w:rsid w:val="009358D1"/>
    <w:rsid w:val="009364E7"/>
    <w:rsid w:val="009375D6"/>
    <w:rsid w:val="00937B96"/>
    <w:rsid w:val="00940513"/>
    <w:rsid w:val="00940732"/>
    <w:rsid w:val="00941147"/>
    <w:rsid w:val="00941C97"/>
    <w:rsid w:val="00942719"/>
    <w:rsid w:val="009431D5"/>
    <w:rsid w:val="00943F80"/>
    <w:rsid w:val="00944EC1"/>
    <w:rsid w:val="0094505C"/>
    <w:rsid w:val="0094598C"/>
    <w:rsid w:val="00945F4A"/>
    <w:rsid w:val="00947438"/>
    <w:rsid w:val="00947AD2"/>
    <w:rsid w:val="0095037B"/>
    <w:rsid w:val="009507A5"/>
    <w:rsid w:val="009511A1"/>
    <w:rsid w:val="009513BE"/>
    <w:rsid w:val="009513C2"/>
    <w:rsid w:val="0095159F"/>
    <w:rsid w:val="0095296F"/>
    <w:rsid w:val="00952B5C"/>
    <w:rsid w:val="00952F28"/>
    <w:rsid w:val="009530C8"/>
    <w:rsid w:val="0095327A"/>
    <w:rsid w:val="0095341C"/>
    <w:rsid w:val="00954743"/>
    <w:rsid w:val="009547B3"/>
    <w:rsid w:val="00955E53"/>
    <w:rsid w:val="0095662E"/>
    <w:rsid w:val="009566C5"/>
    <w:rsid w:val="00956925"/>
    <w:rsid w:val="0095697A"/>
    <w:rsid w:val="00956B21"/>
    <w:rsid w:val="00956F53"/>
    <w:rsid w:val="0096021B"/>
    <w:rsid w:val="00960C85"/>
    <w:rsid w:val="009612FB"/>
    <w:rsid w:val="009616A5"/>
    <w:rsid w:val="009616D6"/>
    <w:rsid w:val="009618F6"/>
    <w:rsid w:val="00962175"/>
    <w:rsid w:val="0096273A"/>
    <w:rsid w:val="009627C1"/>
    <w:rsid w:val="00962F13"/>
    <w:rsid w:val="009632CF"/>
    <w:rsid w:val="00963452"/>
    <w:rsid w:val="009637FD"/>
    <w:rsid w:val="00963A75"/>
    <w:rsid w:val="0096463B"/>
    <w:rsid w:val="0096558F"/>
    <w:rsid w:val="009659FC"/>
    <w:rsid w:val="009662B8"/>
    <w:rsid w:val="0096655B"/>
    <w:rsid w:val="00966928"/>
    <w:rsid w:val="00966FCF"/>
    <w:rsid w:val="00967CEF"/>
    <w:rsid w:val="00967EAA"/>
    <w:rsid w:val="009700EC"/>
    <w:rsid w:val="0097027B"/>
    <w:rsid w:val="009714B4"/>
    <w:rsid w:val="009715A3"/>
    <w:rsid w:val="0097237C"/>
    <w:rsid w:val="009735C6"/>
    <w:rsid w:val="009738FB"/>
    <w:rsid w:val="00974914"/>
    <w:rsid w:val="00974AA2"/>
    <w:rsid w:val="00974F1C"/>
    <w:rsid w:val="009750F8"/>
    <w:rsid w:val="009757A3"/>
    <w:rsid w:val="00977818"/>
    <w:rsid w:val="00977CC0"/>
    <w:rsid w:val="00977F7D"/>
    <w:rsid w:val="00980982"/>
    <w:rsid w:val="00980F72"/>
    <w:rsid w:val="009816AE"/>
    <w:rsid w:val="00981759"/>
    <w:rsid w:val="009818EA"/>
    <w:rsid w:val="00981A8B"/>
    <w:rsid w:val="00981B72"/>
    <w:rsid w:val="00982B52"/>
    <w:rsid w:val="009831F3"/>
    <w:rsid w:val="0098435A"/>
    <w:rsid w:val="00984C9B"/>
    <w:rsid w:val="009856B3"/>
    <w:rsid w:val="00985932"/>
    <w:rsid w:val="00986B43"/>
    <w:rsid w:val="00986CD7"/>
    <w:rsid w:val="00986E6A"/>
    <w:rsid w:val="0098751D"/>
    <w:rsid w:val="0098767E"/>
    <w:rsid w:val="00987D2D"/>
    <w:rsid w:val="00987E9E"/>
    <w:rsid w:val="0099091E"/>
    <w:rsid w:val="0099108E"/>
    <w:rsid w:val="009916D1"/>
    <w:rsid w:val="00991B14"/>
    <w:rsid w:val="009926B6"/>
    <w:rsid w:val="00992B5D"/>
    <w:rsid w:val="00993779"/>
    <w:rsid w:val="009943B5"/>
    <w:rsid w:val="00994E62"/>
    <w:rsid w:val="0099512F"/>
    <w:rsid w:val="009955C0"/>
    <w:rsid w:val="00995753"/>
    <w:rsid w:val="00995C08"/>
    <w:rsid w:val="00995EBE"/>
    <w:rsid w:val="00995FE3"/>
    <w:rsid w:val="009961BB"/>
    <w:rsid w:val="009962A8"/>
    <w:rsid w:val="009964DF"/>
    <w:rsid w:val="00996DE8"/>
    <w:rsid w:val="00997A4F"/>
    <w:rsid w:val="00997D6A"/>
    <w:rsid w:val="009A0085"/>
    <w:rsid w:val="009A02B6"/>
    <w:rsid w:val="009A0453"/>
    <w:rsid w:val="009A054F"/>
    <w:rsid w:val="009A1885"/>
    <w:rsid w:val="009A22C4"/>
    <w:rsid w:val="009A3008"/>
    <w:rsid w:val="009A30FA"/>
    <w:rsid w:val="009A377E"/>
    <w:rsid w:val="009A3F48"/>
    <w:rsid w:val="009A4C5C"/>
    <w:rsid w:val="009A62CE"/>
    <w:rsid w:val="009A6321"/>
    <w:rsid w:val="009A673E"/>
    <w:rsid w:val="009A70FE"/>
    <w:rsid w:val="009A7C32"/>
    <w:rsid w:val="009A7CBA"/>
    <w:rsid w:val="009A7D3A"/>
    <w:rsid w:val="009A7E6F"/>
    <w:rsid w:val="009B0210"/>
    <w:rsid w:val="009B028C"/>
    <w:rsid w:val="009B0331"/>
    <w:rsid w:val="009B1234"/>
    <w:rsid w:val="009B12DF"/>
    <w:rsid w:val="009B1400"/>
    <w:rsid w:val="009B154E"/>
    <w:rsid w:val="009B194B"/>
    <w:rsid w:val="009B1985"/>
    <w:rsid w:val="009B2294"/>
    <w:rsid w:val="009B33A8"/>
    <w:rsid w:val="009B38C2"/>
    <w:rsid w:val="009B3F39"/>
    <w:rsid w:val="009B432D"/>
    <w:rsid w:val="009B4CEA"/>
    <w:rsid w:val="009B4FA8"/>
    <w:rsid w:val="009B528C"/>
    <w:rsid w:val="009B5526"/>
    <w:rsid w:val="009B57C7"/>
    <w:rsid w:val="009B5948"/>
    <w:rsid w:val="009B5D35"/>
    <w:rsid w:val="009B62CB"/>
    <w:rsid w:val="009B634E"/>
    <w:rsid w:val="009B6539"/>
    <w:rsid w:val="009B6F07"/>
    <w:rsid w:val="009B7080"/>
    <w:rsid w:val="009B7328"/>
    <w:rsid w:val="009B733E"/>
    <w:rsid w:val="009B752B"/>
    <w:rsid w:val="009C081A"/>
    <w:rsid w:val="009C0B03"/>
    <w:rsid w:val="009C1240"/>
    <w:rsid w:val="009C1765"/>
    <w:rsid w:val="009C1E25"/>
    <w:rsid w:val="009C2760"/>
    <w:rsid w:val="009C2973"/>
    <w:rsid w:val="009C350B"/>
    <w:rsid w:val="009C3828"/>
    <w:rsid w:val="009C39F0"/>
    <w:rsid w:val="009C3A69"/>
    <w:rsid w:val="009C3DEB"/>
    <w:rsid w:val="009C4993"/>
    <w:rsid w:val="009C50F5"/>
    <w:rsid w:val="009C5B20"/>
    <w:rsid w:val="009C5E51"/>
    <w:rsid w:val="009C628B"/>
    <w:rsid w:val="009C6990"/>
    <w:rsid w:val="009C6B52"/>
    <w:rsid w:val="009C6BA2"/>
    <w:rsid w:val="009C78C1"/>
    <w:rsid w:val="009C7E21"/>
    <w:rsid w:val="009D0566"/>
    <w:rsid w:val="009D10BE"/>
    <w:rsid w:val="009D1324"/>
    <w:rsid w:val="009D14B7"/>
    <w:rsid w:val="009D1563"/>
    <w:rsid w:val="009D19AA"/>
    <w:rsid w:val="009D1B35"/>
    <w:rsid w:val="009D1C07"/>
    <w:rsid w:val="009D2DF5"/>
    <w:rsid w:val="009D2FC8"/>
    <w:rsid w:val="009D31C7"/>
    <w:rsid w:val="009D32C9"/>
    <w:rsid w:val="009D3FBB"/>
    <w:rsid w:val="009D4029"/>
    <w:rsid w:val="009D43FF"/>
    <w:rsid w:val="009D4AA1"/>
    <w:rsid w:val="009D4EE4"/>
    <w:rsid w:val="009D51B6"/>
    <w:rsid w:val="009D5492"/>
    <w:rsid w:val="009D5643"/>
    <w:rsid w:val="009D594C"/>
    <w:rsid w:val="009D5A80"/>
    <w:rsid w:val="009D6000"/>
    <w:rsid w:val="009D7823"/>
    <w:rsid w:val="009D782A"/>
    <w:rsid w:val="009D791C"/>
    <w:rsid w:val="009E05B9"/>
    <w:rsid w:val="009E081D"/>
    <w:rsid w:val="009E0A51"/>
    <w:rsid w:val="009E0C09"/>
    <w:rsid w:val="009E2532"/>
    <w:rsid w:val="009E2F0D"/>
    <w:rsid w:val="009E2FCE"/>
    <w:rsid w:val="009E43B9"/>
    <w:rsid w:val="009E4D26"/>
    <w:rsid w:val="009E4DCE"/>
    <w:rsid w:val="009E4E04"/>
    <w:rsid w:val="009E4F45"/>
    <w:rsid w:val="009E5218"/>
    <w:rsid w:val="009E554B"/>
    <w:rsid w:val="009E56EA"/>
    <w:rsid w:val="009E62E9"/>
    <w:rsid w:val="009E6ECA"/>
    <w:rsid w:val="009E72C3"/>
    <w:rsid w:val="009E7448"/>
    <w:rsid w:val="009F036A"/>
    <w:rsid w:val="009F096A"/>
    <w:rsid w:val="009F183C"/>
    <w:rsid w:val="009F1D7B"/>
    <w:rsid w:val="009F2488"/>
    <w:rsid w:val="009F27DD"/>
    <w:rsid w:val="009F2AD3"/>
    <w:rsid w:val="009F3787"/>
    <w:rsid w:val="009F3E36"/>
    <w:rsid w:val="009F4DF6"/>
    <w:rsid w:val="009F4E8F"/>
    <w:rsid w:val="009F56AB"/>
    <w:rsid w:val="009F59B3"/>
    <w:rsid w:val="009F5EF0"/>
    <w:rsid w:val="009F5F8C"/>
    <w:rsid w:val="009F6C6D"/>
    <w:rsid w:val="009F7565"/>
    <w:rsid w:val="009F7B81"/>
    <w:rsid w:val="009F7DD4"/>
    <w:rsid w:val="00A0050D"/>
    <w:rsid w:val="00A009DF"/>
    <w:rsid w:val="00A01A87"/>
    <w:rsid w:val="00A025E1"/>
    <w:rsid w:val="00A025F7"/>
    <w:rsid w:val="00A030BE"/>
    <w:rsid w:val="00A03359"/>
    <w:rsid w:val="00A03391"/>
    <w:rsid w:val="00A03FE0"/>
    <w:rsid w:val="00A050CB"/>
    <w:rsid w:val="00A050FB"/>
    <w:rsid w:val="00A06179"/>
    <w:rsid w:val="00A06AC6"/>
    <w:rsid w:val="00A07C59"/>
    <w:rsid w:val="00A10BDB"/>
    <w:rsid w:val="00A11368"/>
    <w:rsid w:val="00A117E1"/>
    <w:rsid w:val="00A12AF0"/>
    <w:rsid w:val="00A12C84"/>
    <w:rsid w:val="00A12ED1"/>
    <w:rsid w:val="00A14285"/>
    <w:rsid w:val="00A1508A"/>
    <w:rsid w:val="00A164C5"/>
    <w:rsid w:val="00A166AB"/>
    <w:rsid w:val="00A16A9B"/>
    <w:rsid w:val="00A16ABF"/>
    <w:rsid w:val="00A17035"/>
    <w:rsid w:val="00A17140"/>
    <w:rsid w:val="00A17162"/>
    <w:rsid w:val="00A171F9"/>
    <w:rsid w:val="00A17B26"/>
    <w:rsid w:val="00A17EBA"/>
    <w:rsid w:val="00A2066C"/>
    <w:rsid w:val="00A20900"/>
    <w:rsid w:val="00A20FDE"/>
    <w:rsid w:val="00A217E3"/>
    <w:rsid w:val="00A21978"/>
    <w:rsid w:val="00A21F26"/>
    <w:rsid w:val="00A23794"/>
    <w:rsid w:val="00A238E6"/>
    <w:rsid w:val="00A23A65"/>
    <w:rsid w:val="00A23BA8"/>
    <w:rsid w:val="00A24056"/>
    <w:rsid w:val="00A2431E"/>
    <w:rsid w:val="00A248B5"/>
    <w:rsid w:val="00A249A0"/>
    <w:rsid w:val="00A24C47"/>
    <w:rsid w:val="00A24E2D"/>
    <w:rsid w:val="00A24FA9"/>
    <w:rsid w:val="00A254AB"/>
    <w:rsid w:val="00A259B4"/>
    <w:rsid w:val="00A25A4C"/>
    <w:rsid w:val="00A26AEB"/>
    <w:rsid w:val="00A26CC1"/>
    <w:rsid w:val="00A272FF"/>
    <w:rsid w:val="00A278FE"/>
    <w:rsid w:val="00A27927"/>
    <w:rsid w:val="00A27D48"/>
    <w:rsid w:val="00A301AF"/>
    <w:rsid w:val="00A30670"/>
    <w:rsid w:val="00A30F4B"/>
    <w:rsid w:val="00A31763"/>
    <w:rsid w:val="00A31DAE"/>
    <w:rsid w:val="00A321E3"/>
    <w:rsid w:val="00A326ED"/>
    <w:rsid w:val="00A32C5A"/>
    <w:rsid w:val="00A33D1B"/>
    <w:rsid w:val="00A34701"/>
    <w:rsid w:val="00A34B96"/>
    <w:rsid w:val="00A34C0D"/>
    <w:rsid w:val="00A35535"/>
    <w:rsid w:val="00A35B49"/>
    <w:rsid w:val="00A364DF"/>
    <w:rsid w:val="00A36981"/>
    <w:rsid w:val="00A3732B"/>
    <w:rsid w:val="00A373FE"/>
    <w:rsid w:val="00A40B07"/>
    <w:rsid w:val="00A40E98"/>
    <w:rsid w:val="00A42247"/>
    <w:rsid w:val="00A422A6"/>
    <w:rsid w:val="00A427C5"/>
    <w:rsid w:val="00A42A2C"/>
    <w:rsid w:val="00A42A4F"/>
    <w:rsid w:val="00A42AA8"/>
    <w:rsid w:val="00A42BDF"/>
    <w:rsid w:val="00A44A64"/>
    <w:rsid w:val="00A45C85"/>
    <w:rsid w:val="00A4606F"/>
    <w:rsid w:val="00A466E6"/>
    <w:rsid w:val="00A46848"/>
    <w:rsid w:val="00A470EE"/>
    <w:rsid w:val="00A47BAB"/>
    <w:rsid w:val="00A50994"/>
    <w:rsid w:val="00A512FC"/>
    <w:rsid w:val="00A51854"/>
    <w:rsid w:val="00A51EB4"/>
    <w:rsid w:val="00A5281F"/>
    <w:rsid w:val="00A52A88"/>
    <w:rsid w:val="00A540A7"/>
    <w:rsid w:val="00A558DE"/>
    <w:rsid w:val="00A566FA"/>
    <w:rsid w:val="00A56D2A"/>
    <w:rsid w:val="00A573E2"/>
    <w:rsid w:val="00A57F2D"/>
    <w:rsid w:val="00A60132"/>
    <w:rsid w:val="00A610F3"/>
    <w:rsid w:val="00A61505"/>
    <w:rsid w:val="00A62629"/>
    <w:rsid w:val="00A62EB7"/>
    <w:rsid w:val="00A635CF"/>
    <w:rsid w:val="00A63A64"/>
    <w:rsid w:val="00A645FB"/>
    <w:rsid w:val="00A64EF7"/>
    <w:rsid w:val="00A66078"/>
    <w:rsid w:val="00A660EA"/>
    <w:rsid w:val="00A6638E"/>
    <w:rsid w:val="00A66B76"/>
    <w:rsid w:val="00A672CB"/>
    <w:rsid w:val="00A67376"/>
    <w:rsid w:val="00A67B8E"/>
    <w:rsid w:val="00A7069D"/>
    <w:rsid w:val="00A71724"/>
    <w:rsid w:val="00A72D6D"/>
    <w:rsid w:val="00A730E8"/>
    <w:rsid w:val="00A736E3"/>
    <w:rsid w:val="00A73C41"/>
    <w:rsid w:val="00A73E1E"/>
    <w:rsid w:val="00A754AB"/>
    <w:rsid w:val="00A75BEF"/>
    <w:rsid w:val="00A75DB6"/>
    <w:rsid w:val="00A76999"/>
    <w:rsid w:val="00A76D6D"/>
    <w:rsid w:val="00A77D7C"/>
    <w:rsid w:val="00A77E04"/>
    <w:rsid w:val="00A8058E"/>
    <w:rsid w:val="00A81419"/>
    <w:rsid w:val="00A81F67"/>
    <w:rsid w:val="00A827FA"/>
    <w:rsid w:val="00A82A9A"/>
    <w:rsid w:val="00A8304C"/>
    <w:rsid w:val="00A83317"/>
    <w:rsid w:val="00A83619"/>
    <w:rsid w:val="00A8364B"/>
    <w:rsid w:val="00A83C79"/>
    <w:rsid w:val="00A845DB"/>
    <w:rsid w:val="00A847DF"/>
    <w:rsid w:val="00A84DDF"/>
    <w:rsid w:val="00A85437"/>
    <w:rsid w:val="00A85D56"/>
    <w:rsid w:val="00A8601E"/>
    <w:rsid w:val="00A900AF"/>
    <w:rsid w:val="00A90113"/>
    <w:rsid w:val="00A9012C"/>
    <w:rsid w:val="00A90143"/>
    <w:rsid w:val="00A9059C"/>
    <w:rsid w:val="00A90979"/>
    <w:rsid w:val="00A91092"/>
    <w:rsid w:val="00A917A7"/>
    <w:rsid w:val="00A921E2"/>
    <w:rsid w:val="00A9220D"/>
    <w:rsid w:val="00A926EA"/>
    <w:rsid w:val="00A9341E"/>
    <w:rsid w:val="00A934D1"/>
    <w:rsid w:val="00A94022"/>
    <w:rsid w:val="00A96022"/>
    <w:rsid w:val="00A97473"/>
    <w:rsid w:val="00A97CB5"/>
    <w:rsid w:val="00AA075D"/>
    <w:rsid w:val="00AA1492"/>
    <w:rsid w:val="00AA18BA"/>
    <w:rsid w:val="00AA18FF"/>
    <w:rsid w:val="00AA2C84"/>
    <w:rsid w:val="00AA3051"/>
    <w:rsid w:val="00AA3188"/>
    <w:rsid w:val="00AA3334"/>
    <w:rsid w:val="00AA389E"/>
    <w:rsid w:val="00AA3A67"/>
    <w:rsid w:val="00AA3E10"/>
    <w:rsid w:val="00AA488E"/>
    <w:rsid w:val="00AA4937"/>
    <w:rsid w:val="00AA5E44"/>
    <w:rsid w:val="00AA6AFA"/>
    <w:rsid w:val="00AA7909"/>
    <w:rsid w:val="00AA7A3A"/>
    <w:rsid w:val="00AA7B78"/>
    <w:rsid w:val="00AB0217"/>
    <w:rsid w:val="00AB0C8F"/>
    <w:rsid w:val="00AB0E78"/>
    <w:rsid w:val="00AB0F53"/>
    <w:rsid w:val="00AB1DA1"/>
    <w:rsid w:val="00AB1F00"/>
    <w:rsid w:val="00AB27AE"/>
    <w:rsid w:val="00AB2A3A"/>
    <w:rsid w:val="00AB3482"/>
    <w:rsid w:val="00AB381F"/>
    <w:rsid w:val="00AB3904"/>
    <w:rsid w:val="00AB3E74"/>
    <w:rsid w:val="00AB4DCD"/>
    <w:rsid w:val="00AB4F3D"/>
    <w:rsid w:val="00AB4FE4"/>
    <w:rsid w:val="00AB5407"/>
    <w:rsid w:val="00AB5667"/>
    <w:rsid w:val="00AB62E5"/>
    <w:rsid w:val="00AB6995"/>
    <w:rsid w:val="00AB70BB"/>
    <w:rsid w:val="00AC05A1"/>
    <w:rsid w:val="00AC06E7"/>
    <w:rsid w:val="00AC0DF2"/>
    <w:rsid w:val="00AC1DAF"/>
    <w:rsid w:val="00AC2085"/>
    <w:rsid w:val="00AC212C"/>
    <w:rsid w:val="00AC2DB4"/>
    <w:rsid w:val="00AC3028"/>
    <w:rsid w:val="00AC3263"/>
    <w:rsid w:val="00AC33D9"/>
    <w:rsid w:val="00AC39F8"/>
    <w:rsid w:val="00AC4226"/>
    <w:rsid w:val="00AC4573"/>
    <w:rsid w:val="00AC6940"/>
    <w:rsid w:val="00AC7D12"/>
    <w:rsid w:val="00AC7E1A"/>
    <w:rsid w:val="00AC7FEB"/>
    <w:rsid w:val="00AD05AD"/>
    <w:rsid w:val="00AD08F5"/>
    <w:rsid w:val="00AD1069"/>
    <w:rsid w:val="00AD121C"/>
    <w:rsid w:val="00AD1C33"/>
    <w:rsid w:val="00AD2713"/>
    <w:rsid w:val="00AD4E6D"/>
    <w:rsid w:val="00AD536D"/>
    <w:rsid w:val="00AD5596"/>
    <w:rsid w:val="00AD5902"/>
    <w:rsid w:val="00AD601F"/>
    <w:rsid w:val="00AD6AB6"/>
    <w:rsid w:val="00AD6D5E"/>
    <w:rsid w:val="00AD755C"/>
    <w:rsid w:val="00AD76F8"/>
    <w:rsid w:val="00AD77ED"/>
    <w:rsid w:val="00AD7A65"/>
    <w:rsid w:val="00AD7C1B"/>
    <w:rsid w:val="00AD7E7B"/>
    <w:rsid w:val="00AD7EB0"/>
    <w:rsid w:val="00AE02FB"/>
    <w:rsid w:val="00AE0AE0"/>
    <w:rsid w:val="00AE0F82"/>
    <w:rsid w:val="00AE1B93"/>
    <w:rsid w:val="00AE2168"/>
    <w:rsid w:val="00AE2521"/>
    <w:rsid w:val="00AE28A8"/>
    <w:rsid w:val="00AE2BC3"/>
    <w:rsid w:val="00AE2BC7"/>
    <w:rsid w:val="00AE3272"/>
    <w:rsid w:val="00AE3362"/>
    <w:rsid w:val="00AE3794"/>
    <w:rsid w:val="00AE37DF"/>
    <w:rsid w:val="00AE3CE1"/>
    <w:rsid w:val="00AE3ED6"/>
    <w:rsid w:val="00AE3EEC"/>
    <w:rsid w:val="00AE49C4"/>
    <w:rsid w:val="00AE56B0"/>
    <w:rsid w:val="00AE5A2C"/>
    <w:rsid w:val="00AE5A6F"/>
    <w:rsid w:val="00AE7142"/>
    <w:rsid w:val="00AE7186"/>
    <w:rsid w:val="00AF088A"/>
    <w:rsid w:val="00AF0BAC"/>
    <w:rsid w:val="00AF1332"/>
    <w:rsid w:val="00AF266E"/>
    <w:rsid w:val="00AF292A"/>
    <w:rsid w:val="00AF2B8A"/>
    <w:rsid w:val="00AF2E82"/>
    <w:rsid w:val="00AF3215"/>
    <w:rsid w:val="00AF39A1"/>
    <w:rsid w:val="00AF3EFB"/>
    <w:rsid w:val="00AF3F14"/>
    <w:rsid w:val="00AF40A4"/>
    <w:rsid w:val="00AF41F5"/>
    <w:rsid w:val="00AF42DC"/>
    <w:rsid w:val="00AF4B7F"/>
    <w:rsid w:val="00AF5952"/>
    <w:rsid w:val="00AF615E"/>
    <w:rsid w:val="00AF765F"/>
    <w:rsid w:val="00AF79C6"/>
    <w:rsid w:val="00B001A8"/>
    <w:rsid w:val="00B001E0"/>
    <w:rsid w:val="00B00495"/>
    <w:rsid w:val="00B01B37"/>
    <w:rsid w:val="00B01BE2"/>
    <w:rsid w:val="00B02ABB"/>
    <w:rsid w:val="00B02DC5"/>
    <w:rsid w:val="00B0344F"/>
    <w:rsid w:val="00B03D90"/>
    <w:rsid w:val="00B0513D"/>
    <w:rsid w:val="00B051F2"/>
    <w:rsid w:val="00B05759"/>
    <w:rsid w:val="00B058C9"/>
    <w:rsid w:val="00B05BF0"/>
    <w:rsid w:val="00B05F0C"/>
    <w:rsid w:val="00B05F32"/>
    <w:rsid w:val="00B06152"/>
    <w:rsid w:val="00B0656C"/>
    <w:rsid w:val="00B07E44"/>
    <w:rsid w:val="00B104D4"/>
    <w:rsid w:val="00B10554"/>
    <w:rsid w:val="00B116B0"/>
    <w:rsid w:val="00B12819"/>
    <w:rsid w:val="00B12B4C"/>
    <w:rsid w:val="00B12D2E"/>
    <w:rsid w:val="00B12DDC"/>
    <w:rsid w:val="00B135E5"/>
    <w:rsid w:val="00B1361D"/>
    <w:rsid w:val="00B13824"/>
    <w:rsid w:val="00B145FA"/>
    <w:rsid w:val="00B15275"/>
    <w:rsid w:val="00B15768"/>
    <w:rsid w:val="00B15986"/>
    <w:rsid w:val="00B16B9C"/>
    <w:rsid w:val="00B16F75"/>
    <w:rsid w:val="00B17404"/>
    <w:rsid w:val="00B17441"/>
    <w:rsid w:val="00B177CB"/>
    <w:rsid w:val="00B177F7"/>
    <w:rsid w:val="00B20122"/>
    <w:rsid w:val="00B21AA8"/>
    <w:rsid w:val="00B21C49"/>
    <w:rsid w:val="00B21D87"/>
    <w:rsid w:val="00B21D9D"/>
    <w:rsid w:val="00B21DFA"/>
    <w:rsid w:val="00B2229E"/>
    <w:rsid w:val="00B22D2E"/>
    <w:rsid w:val="00B24A22"/>
    <w:rsid w:val="00B24D8C"/>
    <w:rsid w:val="00B24DBC"/>
    <w:rsid w:val="00B25934"/>
    <w:rsid w:val="00B25B61"/>
    <w:rsid w:val="00B27051"/>
    <w:rsid w:val="00B276A2"/>
    <w:rsid w:val="00B27BA2"/>
    <w:rsid w:val="00B3037E"/>
    <w:rsid w:val="00B30578"/>
    <w:rsid w:val="00B30720"/>
    <w:rsid w:val="00B31493"/>
    <w:rsid w:val="00B326F9"/>
    <w:rsid w:val="00B328CC"/>
    <w:rsid w:val="00B32A01"/>
    <w:rsid w:val="00B32CC3"/>
    <w:rsid w:val="00B33A4C"/>
    <w:rsid w:val="00B35456"/>
    <w:rsid w:val="00B35812"/>
    <w:rsid w:val="00B35849"/>
    <w:rsid w:val="00B36115"/>
    <w:rsid w:val="00B3694F"/>
    <w:rsid w:val="00B369B3"/>
    <w:rsid w:val="00B36A44"/>
    <w:rsid w:val="00B36C26"/>
    <w:rsid w:val="00B36C5C"/>
    <w:rsid w:val="00B375D6"/>
    <w:rsid w:val="00B37610"/>
    <w:rsid w:val="00B37C60"/>
    <w:rsid w:val="00B37E58"/>
    <w:rsid w:val="00B4188F"/>
    <w:rsid w:val="00B42426"/>
    <w:rsid w:val="00B425A7"/>
    <w:rsid w:val="00B42D4E"/>
    <w:rsid w:val="00B42E94"/>
    <w:rsid w:val="00B4301E"/>
    <w:rsid w:val="00B43547"/>
    <w:rsid w:val="00B438F2"/>
    <w:rsid w:val="00B43DF6"/>
    <w:rsid w:val="00B43E6C"/>
    <w:rsid w:val="00B44692"/>
    <w:rsid w:val="00B4504B"/>
    <w:rsid w:val="00B452A0"/>
    <w:rsid w:val="00B45833"/>
    <w:rsid w:val="00B4598F"/>
    <w:rsid w:val="00B4692D"/>
    <w:rsid w:val="00B46D1E"/>
    <w:rsid w:val="00B477D1"/>
    <w:rsid w:val="00B47F97"/>
    <w:rsid w:val="00B50B52"/>
    <w:rsid w:val="00B50EB9"/>
    <w:rsid w:val="00B5151C"/>
    <w:rsid w:val="00B52203"/>
    <w:rsid w:val="00B52278"/>
    <w:rsid w:val="00B530F4"/>
    <w:rsid w:val="00B53F96"/>
    <w:rsid w:val="00B54C3D"/>
    <w:rsid w:val="00B54D1B"/>
    <w:rsid w:val="00B55A80"/>
    <w:rsid w:val="00B55F76"/>
    <w:rsid w:val="00B56A97"/>
    <w:rsid w:val="00B56D22"/>
    <w:rsid w:val="00B605F0"/>
    <w:rsid w:val="00B60614"/>
    <w:rsid w:val="00B612C3"/>
    <w:rsid w:val="00B61841"/>
    <w:rsid w:val="00B6198C"/>
    <w:rsid w:val="00B61F16"/>
    <w:rsid w:val="00B62E76"/>
    <w:rsid w:val="00B65621"/>
    <w:rsid w:val="00B65E0D"/>
    <w:rsid w:val="00B66A46"/>
    <w:rsid w:val="00B66B36"/>
    <w:rsid w:val="00B66C66"/>
    <w:rsid w:val="00B701A0"/>
    <w:rsid w:val="00B7080A"/>
    <w:rsid w:val="00B71054"/>
    <w:rsid w:val="00B71C10"/>
    <w:rsid w:val="00B71E81"/>
    <w:rsid w:val="00B7212E"/>
    <w:rsid w:val="00B73311"/>
    <w:rsid w:val="00B73B10"/>
    <w:rsid w:val="00B73D5F"/>
    <w:rsid w:val="00B73E35"/>
    <w:rsid w:val="00B7434F"/>
    <w:rsid w:val="00B74952"/>
    <w:rsid w:val="00B7517D"/>
    <w:rsid w:val="00B77347"/>
    <w:rsid w:val="00B77900"/>
    <w:rsid w:val="00B77EDD"/>
    <w:rsid w:val="00B80112"/>
    <w:rsid w:val="00B80132"/>
    <w:rsid w:val="00B804BF"/>
    <w:rsid w:val="00B8050F"/>
    <w:rsid w:val="00B80691"/>
    <w:rsid w:val="00B80C66"/>
    <w:rsid w:val="00B81417"/>
    <w:rsid w:val="00B815B8"/>
    <w:rsid w:val="00B82919"/>
    <w:rsid w:val="00B83064"/>
    <w:rsid w:val="00B8341D"/>
    <w:rsid w:val="00B83C04"/>
    <w:rsid w:val="00B83CEA"/>
    <w:rsid w:val="00B841F1"/>
    <w:rsid w:val="00B8427F"/>
    <w:rsid w:val="00B8492F"/>
    <w:rsid w:val="00B84A3C"/>
    <w:rsid w:val="00B85476"/>
    <w:rsid w:val="00B8551A"/>
    <w:rsid w:val="00B858BE"/>
    <w:rsid w:val="00B85B20"/>
    <w:rsid w:val="00B85C6E"/>
    <w:rsid w:val="00B86125"/>
    <w:rsid w:val="00B86336"/>
    <w:rsid w:val="00B8653F"/>
    <w:rsid w:val="00B86C37"/>
    <w:rsid w:val="00B86CD2"/>
    <w:rsid w:val="00B86D38"/>
    <w:rsid w:val="00B900AB"/>
    <w:rsid w:val="00B90ADA"/>
    <w:rsid w:val="00B91D1E"/>
    <w:rsid w:val="00B922C8"/>
    <w:rsid w:val="00B92743"/>
    <w:rsid w:val="00B93661"/>
    <w:rsid w:val="00B9378E"/>
    <w:rsid w:val="00B9388A"/>
    <w:rsid w:val="00B93A2B"/>
    <w:rsid w:val="00B93A9E"/>
    <w:rsid w:val="00B9432D"/>
    <w:rsid w:val="00B95990"/>
    <w:rsid w:val="00B95BED"/>
    <w:rsid w:val="00B9662D"/>
    <w:rsid w:val="00B966AB"/>
    <w:rsid w:val="00B96B85"/>
    <w:rsid w:val="00B96CB6"/>
    <w:rsid w:val="00B96EA0"/>
    <w:rsid w:val="00B973DD"/>
    <w:rsid w:val="00B973FC"/>
    <w:rsid w:val="00B975A5"/>
    <w:rsid w:val="00B975CA"/>
    <w:rsid w:val="00B97D99"/>
    <w:rsid w:val="00BA0364"/>
    <w:rsid w:val="00BA09A4"/>
    <w:rsid w:val="00BA0A21"/>
    <w:rsid w:val="00BA1074"/>
    <w:rsid w:val="00BA25C1"/>
    <w:rsid w:val="00BA3206"/>
    <w:rsid w:val="00BA324D"/>
    <w:rsid w:val="00BA36AE"/>
    <w:rsid w:val="00BA39BF"/>
    <w:rsid w:val="00BA3E4B"/>
    <w:rsid w:val="00BA4058"/>
    <w:rsid w:val="00BA4529"/>
    <w:rsid w:val="00BA46E4"/>
    <w:rsid w:val="00BA4731"/>
    <w:rsid w:val="00BA4D03"/>
    <w:rsid w:val="00BA4EE3"/>
    <w:rsid w:val="00BA5AFE"/>
    <w:rsid w:val="00BA65FD"/>
    <w:rsid w:val="00BA674A"/>
    <w:rsid w:val="00BA6788"/>
    <w:rsid w:val="00BA6CA6"/>
    <w:rsid w:val="00BA6D0E"/>
    <w:rsid w:val="00BB0074"/>
    <w:rsid w:val="00BB01CE"/>
    <w:rsid w:val="00BB0F97"/>
    <w:rsid w:val="00BB117A"/>
    <w:rsid w:val="00BB1994"/>
    <w:rsid w:val="00BB1F19"/>
    <w:rsid w:val="00BB2072"/>
    <w:rsid w:val="00BB2747"/>
    <w:rsid w:val="00BB27A9"/>
    <w:rsid w:val="00BB2DC4"/>
    <w:rsid w:val="00BB3CEF"/>
    <w:rsid w:val="00BB3F89"/>
    <w:rsid w:val="00BB42EA"/>
    <w:rsid w:val="00BB5781"/>
    <w:rsid w:val="00BB5A8C"/>
    <w:rsid w:val="00BB650F"/>
    <w:rsid w:val="00BB69B4"/>
    <w:rsid w:val="00BB6A95"/>
    <w:rsid w:val="00BB6DA5"/>
    <w:rsid w:val="00BB76D4"/>
    <w:rsid w:val="00BB7974"/>
    <w:rsid w:val="00BB7B39"/>
    <w:rsid w:val="00BB7E45"/>
    <w:rsid w:val="00BC091E"/>
    <w:rsid w:val="00BC0E20"/>
    <w:rsid w:val="00BC1193"/>
    <w:rsid w:val="00BC19C2"/>
    <w:rsid w:val="00BC1BC3"/>
    <w:rsid w:val="00BC2E5C"/>
    <w:rsid w:val="00BC306F"/>
    <w:rsid w:val="00BC3648"/>
    <w:rsid w:val="00BC3826"/>
    <w:rsid w:val="00BC3F05"/>
    <w:rsid w:val="00BC4540"/>
    <w:rsid w:val="00BC4676"/>
    <w:rsid w:val="00BC55E8"/>
    <w:rsid w:val="00BC59FA"/>
    <w:rsid w:val="00BC5A8F"/>
    <w:rsid w:val="00BC5AB0"/>
    <w:rsid w:val="00BC5D95"/>
    <w:rsid w:val="00BC5E8C"/>
    <w:rsid w:val="00BC6183"/>
    <w:rsid w:val="00BC6644"/>
    <w:rsid w:val="00BD00FE"/>
    <w:rsid w:val="00BD06D0"/>
    <w:rsid w:val="00BD0A47"/>
    <w:rsid w:val="00BD11B1"/>
    <w:rsid w:val="00BD1297"/>
    <w:rsid w:val="00BD2052"/>
    <w:rsid w:val="00BD25D6"/>
    <w:rsid w:val="00BD275B"/>
    <w:rsid w:val="00BD364B"/>
    <w:rsid w:val="00BD3B4F"/>
    <w:rsid w:val="00BD3BFA"/>
    <w:rsid w:val="00BD3D63"/>
    <w:rsid w:val="00BD4ED6"/>
    <w:rsid w:val="00BD53BB"/>
    <w:rsid w:val="00BD5CCE"/>
    <w:rsid w:val="00BD6564"/>
    <w:rsid w:val="00BD7165"/>
    <w:rsid w:val="00BD74D6"/>
    <w:rsid w:val="00BD7768"/>
    <w:rsid w:val="00BE0BCC"/>
    <w:rsid w:val="00BE1192"/>
    <w:rsid w:val="00BE1424"/>
    <w:rsid w:val="00BE15D6"/>
    <w:rsid w:val="00BE19D6"/>
    <w:rsid w:val="00BE1D33"/>
    <w:rsid w:val="00BE1D70"/>
    <w:rsid w:val="00BE231F"/>
    <w:rsid w:val="00BE29C1"/>
    <w:rsid w:val="00BE2BC4"/>
    <w:rsid w:val="00BE2EE7"/>
    <w:rsid w:val="00BE429A"/>
    <w:rsid w:val="00BE47C2"/>
    <w:rsid w:val="00BE61EA"/>
    <w:rsid w:val="00BE633A"/>
    <w:rsid w:val="00BE691F"/>
    <w:rsid w:val="00BE780A"/>
    <w:rsid w:val="00BF0FA7"/>
    <w:rsid w:val="00BF1260"/>
    <w:rsid w:val="00BF14E5"/>
    <w:rsid w:val="00BF18CA"/>
    <w:rsid w:val="00BF1AB5"/>
    <w:rsid w:val="00BF1BF8"/>
    <w:rsid w:val="00BF266A"/>
    <w:rsid w:val="00BF2BB9"/>
    <w:rsid w:val="00BF35C5"/>
    <w:rsid w:val="00BF378A"/>
    <w:rsid w:val="00BF3BC4"/>
    <w:rsid w:val="00BF42BB"/>
    <w:rsid w:val="00BF5F0D"/>
    <w:rsid w:val="00BF6442"/>
    <w:rsid w:val="00BF64BB"/>
    <w:rsid w:val="00BF6626"/>
    <w:rsid w:val="00BF6F11"/>
    <w:rsid w:val="00BF73E8"/>
    <w:rsid w:val="00BF7BCD"/>
    <w:rsid w:val="00C002B4"/>
    <w:rsid w:val="00C01B67"/>
    <w:rsid w:val="00C01ECA"/>
    <w:rsid w:val="00C021B0"/>
    <w:rsid w:val="00C02C5C"/>
    <w:rsid w:val="00C02CB1"/>
    <w:rsid w:val="00C02DBC"/>
    <w:rsid w:val="00C03DA0"/>
    <w:rsid w:val="00C04B71"/>
    <w:rsid w:val="00C04C8B"/>
    <w:rsid w:val="00C04EFE"/>
    <w:rsid w:val="00C05412"/>
    <w:rsid w:val="00C0550A"/>
    <w:rsid w:val="00C05B07"/>
    <w:rsid w:val="00C05C60"/>
    <w:rsid w:val="00C05F86"/>
    <w:rsid w:val="00C063E6"/>
    <w:rsid w:val="00C06D98"/>
    <w:rsid w:val="00C0770B"/>
    <w:rsid w:val="00C07FFB"/>
    <w:rsid w:val="00C1013D"/>
    <w:rsid w:val="00C104E5"/>
    <w:rsid w:val="00C1098E"/>
    <w:rsid w:val="00C10FB1"/>
    <w:rsid w:val="00C1173D"/>
    <w:rsid w:val="00C11B49"/>
    <w:rsid w:val="00C11CD0"/>
    <w:rsid w:val="00C1237B"/>
    <w:rsid w:val="00C12E0C"/>
    <w:rsid w:val="00C13B47"/>
    <w:rsid w:val="00C14009"/>
    <w:rsid w:val="00C145C3"/>
    <w:rsid w:val="00C14803"/>
    <w:rsid w:val="00C149B3"/>
    <w:rsid w:val="00C14D8F"/>
    <w:rsid w:val="00C15E97"/>
    <w:rsid w:val="00C160DE"/>
    <w:rsid w:val="00C16192"/>
    <w:rsid w:val="00C161A3"/>
    <w:rsid w:val="00C16270"/>
    <w:rsid w:val="00C16512"/>
    <w:rsid w:val="00C16D88"/>
    <w:rsid w:val="00C17867"/>
    <w:rsid w:val="00C17B99"/>
    <w:rsid w:val="00C201F1"/>
    <w:rsid w:val="00C2028B"/>
    <w:rsid w:val="00C2065B"/>
    <w:rsid w:val="00C2089F"/>
    <w:rsid w:val="00C209C2"/>
    <w:rsid w:val="00C21785"/>
    <w:rsid w:val="00C21E48"/>
    <w:rsid w:val="00C221CF"/>
    <w:rsid w:val="00C23058"/>
    <w:rsid w:val="00C23273"/>
    <w:rsid w:val="00C2395D"/>
    <w:rsid w:val="00C23A3B"/>
    <w:rsid w:val="00C24E9C"/>
    <w:rsid w:val="00C25243"/>
    <w:rsid w:val="00C256B0"/>
    <w:rsid w:val="00C257F7"/>
    <w:rsid w:val="00C25AFF"/>
    <w:rsid w:val="00C25BA8"/>
    <w:rsid w:val="00C25C5B"/>
    <w:rsid w:val="00C269AC"/>
    <w:rsid w:val="00C27B59"/>
    <w:rsid w:val="00C27C28"/>
    <w:rsid w:val="00C27D04"/>
    <w:rsid w:val="00C27DB0"/>
    <w:rsid w:val="00C30B2A"/>
    <w:rsid w:val="00C31105"/>
    <w:rsid w:val="00C3349D"/>
    <w:rsid w:val="00C33CC7"/>
    <w:rsid w:val="00C33D61"/>
    <w:rsid w:val="00C33E3C"/>
    <w:rsid w:val="00C34EB8"/>
    <w:rsid w:val="00C359AF"/>
    <w:rsid w:val="00C362F0"/>
    <w:rsid w:val="00C36305"/>
    <w:rsid w:val="00C36646"/>
    <w:rsid w:val="00C378D1"/>
    <w:rsid w:val="00C379A2"/>
    <w:rsid w:val="00C37AD9"/>
    <w:rsid w:val="00C37E8B"/>
    <w:rsid w:val="00C4044B"/>
    <w:rsid w:val="00C4097A"/>
    <w:rsid w:val="00C40FD2"/>
    <w:rsid w:val="00C4184E"/>
    <w:rsid w:val="00C41E9B"/>
    <w:rsid w:val="00C425F5"/>
    <w:rsid w:val="00C435C0"/>
    <w:rsid w:val="00C435D7"/>
    <w:rsid w:val="00C4375B"/>
    <w:rsid w:val="00C43800"/>
    <w:rsid w:val="00C43A3A"/>
    <w:rsid w:val="00C44239"/>
    <w:rsid w:val="00C448C4"/>
    <w:rsid w:val="00C44C90"/>
    <w:rsid w:val="00C452B1"/>
    <w:rsid w:val="00C45E56"/>
    <w:rsid w:val="00C45F62"/>
    <w:rsid w:val="00C46D2E"/>
    <w:rsid w:val="00C46D4E"/>
    <w:rsid w:val="00C47E3D"/>
    <w:rsid w:val="00C501DE"/>
    <w:rsid w:val="00C504E7"/>
    <w:rsid w:val="00C512DC"/>
    <w:rsid w:val="00C517A1"/>
    <w:rsid w:val="00C517DE"/>
    <w:rsid w:val="00C51A0A"/>
    <w:rsid w:val="00C51B03"/>
    <w:rsid w:val="00C51E92"/>
    <w:rsid w:val="00C52054"/>
    <w:rsid w:val="00C52060"/>
    <w:rsid w:val="00C5212E"/>
    <w:rsid w:val="00C5257B"/>
    <w:rsid w:val="00C52F28"/>
    <w:rsid w:val="00C532A2"/>
    <w:rsid w:val="00C543EA"/>
    <w:rsid w:val="00C54521"/>
    <w:rsid w:val="00C54EC8"/>
    <w:rsid w:val="00C5529D"/>
    <w:rsid w:val="00C55C62"/>
    <w:rsid w:val="00C566AB"/>
    <w:rsid w:val="00C566FB"/>
    <w:rsid w:val="00C56754"/>
    <w:rsid w:val="00C56891"/>
    <w:rsid w:val="00C572AD"/>
    <w:rsid w:val="00C57640"/>
    <w:rsid w:val="00C57B14"/>
    <w:rsid w:val="00C6067C"/>
    <w:rsid w:val="00C608AA"/>
    <w:rsid w:val="00C6402D"/>
    <w:rsid w:val="00C64120"/>
    <w:rsid w:val="00C65C39"/>
    <w:rsid w:val="00C6711E"/>
    <w:rsid w:val="00C6797C"/>
    <w:rsid w:val="00C70770"/>
    <w:rsid w:val="00C711F0"/>
    <w:rsid w:val="00C72100"/>
    <w:rsid w:val="00C729FC"/>
    <w:rsid w:val="00C7309F"/>
    <w:rsid w:val="00C73610"/>
    <w:rsid w:val="00C7377A"/>
    <w:rsid w:val="00C73F2B"/>
    <w:rsid w:val="00C73F5E"/>
    <w:rsid w:val="00C744C2"/>
    <w:rsid w:val="00C748BC"/>
    <w:rsid w:val="00C74B19"/>
    <w:rsid w:val="00C74D58"/>
    <w:rsid w:val="00C74FE1"/>
    <w:rsid w:val="00C7547F"/>
    <w:rsid w:val="00C755E1"/>
    <w:rsid w:val="00C75AB9"/>
    <w:rsid w:val="00C7687D"/>
    <w:rsid w:val="00C76C1C"/>
    <w:rsid w:val="00C775CB"/>
    <w:rsid w:val="00C77790"/>
    <w:rsid w:val="00C803CB"/>
    <w:rsid w:val="00C8054F"/>
    <w:rsid w:val="00C808C7"/>
    <w:rsid w:val="00C80AB8"/>
    <w:rsid w:val="00C8121E"/>
    <w:rsid w:val="00C814C3"/>
    <w:rsid w:val="00C81B21"/>
    <w:rsid w:val="00C81EBF"/>
    <w:rsid w:val="00C82389"/>
    <w:rsid w:val="00C84CB1"/>
    <w:rsid w:val="00C851D2"/>
    <w:rsid w:val="00C85713"/>
    <w:rsid w:val="00C86606"/>
    <w:rsid w:val="00C86666"/>
    <w:rsid w:val="00C867F6"/>
    <w:rsid w:val="00C86BBD"/>
    <w:rsid w:val="00C8729F"/>
    <w:rsid w:val="00C87385"/>
    <w:rsid w:val="00C8742E"/>
    <w:rsid w:val="00C87552"/>
    <w:rsid w:val="00C87862"/>
    <w:rsid w:val="00C90457"/>
    <w:rsid w:val="00C91796"/>
    <w:rsid w:val="00C919CA"/>
    <w:rsid w:val="00C91A7F"/>
    <w:rsid w:val="00C92052"/>
    <w:rsid w:val="00C92328"/>
    <w:rsid w:val="00C927DD"/>
    <w:rsid w:val="00C927EF"/>
    <w:rsid w:val="00C949B1"/>
    <w:rsid w:val="00C94AAA"/>
    <w:rsid w:val="00C9514B"/>
    <w:rsid w:val="00C95932"/>
    <w:rsid w:val="00C964E9"/>
    <w:rsid w:val="00CA0853"/>
    <w:rsid w:val="00CA1A71"/>
    <w:rsid w:val="00CA1BA5"/>
    <w:rsid w:val="00CA40ED"/>
    <w:rsid w:val="00CA4160"/>
    <w:rsid w:val="00CA51BF"/>
    <w:rsid w:val="00CA5C73"/>
    <w:rsid w:val="00CA6B4C"/>
    <w:rsid w:val="00CA6BF5"/>
    <w:rsid w:val="00CA6CA4"/>
    <w:rsid w:val="00CA6E70"/>
    <w:rsid w:val="00CB03CF"/>
    <w:rsid w:val="00CB086D"/>
    <w:rsid w:val="00CB0C7A"/>
    <w:rsid w:val="00CB1637"/>
    <w:rsid w:val="00CB19F2"/>
    <w:rsid w:val="00CB241D"/>
    <w:rsid w:val="00CB2E11"/>
    <w:rsid w:val="00CB2E37"/>
    <w:rsid w:val="00CB2E58"/>
    <w:rsid w:val="00CB30B0"/>
    <w:rsid w:val="00CB3419"/>
    <w:rsid w:val="00CB3431"/>
    <w:rsid w:val="00CB396D"/>
    <w:rsid w:val="00CB455F"/>
    <w:rsid w:val="00CB45D6"/>
    <w:rsid w:val="00CB46C5"/>
    <w:rsid w:val="00CB47E2"/>
    <w:rsid w:val="00CB4A0D"/>
    <w:rsid w:val="00CB4B44"/>
    <w:rsid w:val="00CB4C70"/>
    <w:rsid w:val="00CB4C9F"/>
    <w:rsid w:val="00CB5B81"/>
    <w:rsid w:val="00CB5EFD"/>
    <w:rsid w:val="00CB7750"/>
    <w:rsid w:val="00CB7BD1"/>
    <w:rsid w:val="00CB7BF5"/>
    <w:rsid w:val="00CB7D3D"/>
    <w:rsid w:val="00CC011C"/>
    <w:rsid w:val="00CC01FD"/>
    <w:rsid w:val="00CC0C2F"/>
    <w:rsid w:val="00CC10E9"/>
    <w:rsid w:val="00CC239B"/>
    <w:rsid w:val="00CC2912"/>
    <w:rsid w:val="00CC2C18"/>
    <w:rsid w:val="00CC2FCA"/>
    <w:rsid w:val="00CC309C"/>
    <w:rsid w:val="00CC334C"/>
    <w:rsid w:val="00CC36FB"/>
    <w:rsid w:val="00CC3E4D"/>
    <w:rsid w:val="00CC475B"/>
    <w:rsid w:val="00CC4B75"/>
    <w:rsid w:val="00CC4C92"/>
    <w:rsid w:val="00CC5B68"/>
    <w:rsid w:val="00CC5C62"/>
    <w:rsid w:val="00CC5DAB"/>
    <w:rsid w:val="00CC686D"/>
    <w:rsid w:val="00CC70EB"/>
    <w:rsid w:val="00CC77E7"/>
    <w:rsid w:val="00CC7995"/>
    <w:rsid w:val="00CC7ED4"/>
    <w:rsid w:val="00CD08F4"/>
    <w:rsid w:val="00CD091D"/>
    <w:rsid w:val="00CD09BD"/>
    <w:rsid w:val="00CD0A35"/>
    <w:rsid w:val="00CD0D7D"/>
    <w:rsid w:val="00CD12FC"/>
    <w:rsid w:val="00CD1762"/>
    <w:rsid w:val="00CD19E5"/>
    <w:rsid w:val="00CD2265"/>
    <w:rsid w:val="00CD29A3"/>
    <w:rsid w:val="00CD3380"/>
    <w:rsid w:val="00CD3751"/>
    <w:rsid w:val="00CD3EB9"/>
    <w:rsid w:val="00CD4686"/>
    <w:rsid w:val="00CD4953"/>
    <w:rsid w:val="00CD4A4A"/>
    <w:rsid w:val="00CD69B7"/>
    <w:rsid w:val="00CD6D3B"/>
    <w:rsid w:val="00CD6DAC"/>
    <w:rsid w:val="00CD7049"/>
    <w:rsid w:val="00CD776F"/>
    <w:rsid w:val="00CE13DE"/>
    <w:rsid w:val="00CE1653"/>
    <w:rsid w:val="00CE2229"/>
    <w:rsid w:val="00CE2ECA"/>
    <w:rsid w:val="00CE37D0"/>
    <w:rsid w:val="00CE4219"/>
    <w:rsid w:val="00CE47F6"/>
    <w:rsid w:val="00CE4BF1"/>
    <w:rsid w:val="00CE5459"/>
    <w:rsid w:val="00CE5D07"/>
    <w:rsid w:val="00CE737B"/>
    <w:rsid w:val="00CF058C"/>
    <w:rsid w:val="00CF0800"/>
    <w:rsid w:val="00CF09FE"/>
    <w:rsid w:val="00CF0D24"/>
    <w:rsid w:val="00CF306D"/>
    <w:rsid w:val="00CF3354"/>
    <w:rsid w:val="00CF3A56"/>
    <w:rsid w:val="00CF3D4A"/>
    <w:rsid w:val="00CF42D6"/>
    <w:rsid w:val="00CF4817"/>
    <w:rsid w:val="00CF4D64"/>
    <w:rsid w:val="00CF5314"/>
    <w:rsid w:val="00CF5EB5"/>
    <w:rsid w:val="00CF60BA"/>
    <w:rsid w:val="00CF63AA"/>
    <w:rsid w:val="00CF63B6"/>
    <w:rsid w:val="00CF63E9"/>
    <w:rsid w:val="00CF699E"/>
    <w:rsid w:val="00CF7007"/>
    <w:rsid w:val="00CF7284"/>
    <w:rsid w:val="00CF76C1"/>
    <w:rsid w:val="00CF7B6B"/>
    <w:rsid w:val="00CF7EAA"/>
    <w:rsid w:val="00D004B6"/>
    <w:rsid w:val="00D0058C"/>
    <w:rsid w:val="00D0106C"/>
    <w:rsid w:val="00D01146"/>
    <w:rsid w:val="00D0130C"/>
    <w:rsid w:val="00D0164D"/>
    <w:rsid w:val="00D018AC"/>
    <w:rsid w:val="00D01C57"/>
    <w:rsid w:val="00D0254F"/>
    <w:rsid w:val="00D027B9"/>
    <w:rsid w:val="00D02E16"/>
    <w:rsid w:val="00D03E9B"/>
    <w:rsid w:val="00D04085"/>
    <w:rsid w:val="00D04BFB"/>
    <w:rsid w:val="00D05832"/>
    <w:rsid w:val="00D05999"/>
    <w:rsid w:val="00D05B60"/>
    <w:rsid w:val="00D06E2F"/>
    <w:rsid w:val="00D07D7D"/>
    <w:rsid w:val="00D107A9"/>
    <w:rsid w:val="00D1093A"/>
    <w:rsid w:val="00D10CBC"/>
    <w:rsid w:val="00D11046"/>
    <w:rsid w:val="00D1213E"/>
    <w:rsid w:val="00D128D9"/>
    <w:rsid w:val="00D12E06"/>
    <w:rsid w:val="00D13A9C"/>
    <w:rsid w:val="00D1433E"/>
    <w:rsid w:val="00D152FD"/>
    <w:rsid w:val="00D15646"/>
    <w:rsid w:val="00D1698A"/>
    <w:rsid w:val="00D17E82"/>
    <w:rsid w:val="00D17F04"/>
    <w:rsid w:val="00D17F76"/>
    <w:rsid w:val="00D17FA8"/>
    <w:rsid w:val="00D20383"/>
    <w:rsid w:val="00D20524"/>
    <w:rsid w:val="00D20883"/>
    <w:rsid w:val="00D20CB7"/>
    <w:rsid w:val="00D21699"/>
    <w:rsid w:val="00D21BFA"/>
    <w:rsid w:val="00D22500"/>
    <w:rsid w:val="00D22F23"/>
    <w:rsid w:val="00D234AD"/>
    <w:rsid w:val="00D23B5C"/>
    <w:rsid w:val="00D23BE3"/>
    <w:rsid w:val="00D240D2"/>
    <w:rsid w:val="00D240D5"/>
    <w:rsid w:val="00D24B14"/>
    <w:rsid w:val="00D256A9"/>
    <w:rsid w:val="00D258B7"/>
    <w:rsid w:val="00D25B45"/>
    <w:rsid w:val="00D25EA5"/>
    <w:rsid w:val="00D2667D"/>
    <w:rsid w:val="00D275E1"/>
    <w:rsid w:val="00D30D06"/>
    <w:rsid w:val="00D318F8"/>
    <w:rsid w:val="00D321E7"/>
    <w:rsid w:val="00D32935"/>
    <w:rsid w:val="00D32B1A"/>
    <w:rsid w:val="00D33635"/>
    <w:rsid w:val="00D33A0E"/>
    <w:rsid w:val="00D33AB6"/>
    <w:rsid w:val="00D34085"/>
    <w:rsid w:val="00D3428D"/>
    <w:rsid w:val="00D3451E"/>
    <w:rsid w:val="00D34525"/>
    <w:rsid w:val="00D34CB6"/>
    <w:rsid w:val="00D35439"/>
    <w:rsid w:val="00D36AB6"/>
    <w:rsid w:val="00D3787D"/>
    <w:rsid w:val="00D42A44"/>
    <w:rsid w:val="00D43851"/>
    <w:rsid w:val="00D43E60"/>
    <w:rsid w:val="00D443CE"/>
    <w:rsid w:val="00D44BFF"/>
    <w:rsid w:val="00D4548C"/>
    <w:rsid w:val="00D45548"/>
    <w:rsid w:val="00D47B42"/>
    <w:rsid w:val="00D47EC2"/>
    <w:rsid w:val="00D5017A"/>
    <w:rsid w:val="00D505B3"/>
    <w:rsid w:val="00D50F0D"/>
    <w:rsid w:val="00D51423"/>
    <w:rsid w:val="00D51D50"/>
    <w:rsid w:val="00D51F06"/>
    <w:rsid w:val="00D51F42"/>
    <w:rsid w:val="00D52990"/>
    <w:rsid w:val="00D52D1D"/>
    <w:rsid w:val="00D544C2"/>
    <w:rsid w:val="00D546DD"/>
    <w:rsid w:val="00D54982"/>
    <w:rsid w:val="00D549EA"/>
    <w:rsid w:val="00D550EB"/>
    <w:rsid w:val="00D553AC"/>
    <w:rsid w:val="00D55AC2"/>
    <w:rsid w:val="00D56855"/>
    <w:rsid w:val="00D5700A"/>
    <w:rsid w:val="00D57DDB"/>
    <w:rsid w:val="00D60746"/>
    <w:rsid w:val="00D60849"/>
    <w:rsid w:val="00D609B3"/>
    <w:rsid w:val="00D613DA"/>
    <w:rsid w:val="00D63C37"/>
    <w:rsid w:val="00D64554"/>
    <w:rsid w:val="00D645FD"/>
    <w:rsid w:val="00D65156"/>
    <w:rsid w:val="00D65B0E"/>
    <w:rsid w:val="00D65E79"/>
    <w:rsid w:val="00D66A0E"/>
    <w:rsid w:val="00D6718B"/>
    <w:rsid w:val="00D671F9"/>
    <w:rsid w:val="00D709BC"/>
    <w:rsid w:val="00D70C10"/>
    <w:rsid w:val="00D71735"/>
    <w:rsid w:val="00D71AA2"/>
    <w:rsid w:val="00D72668"/>
    <w:rsid w:val="00D72EB4"/>
    <w:rsid w:val="00D72F76"/>
    <w:rsid w:val="00D746D8"/>
    <w:rsid w:val="00D74A70"/>
    <w:rsid w:val="00D74C1E"/>
    <w:rsid w:val="00D7507D"/>
    <w:rsid w:val="00D76196"/>
    <w:rsid w:val="00D761C0"/>
    <w:rsid w:val="00D77044"/>
    <w:rsid w:val="00D7723E"/>
    <w:rsid w:val="00D77A7E"/>
    <w:rsid w:val="00D77B23"/>
    <w:rsid w:val="00D80A4B"/>
    <w:rsid w:val="00D80B51"/>
    <w:rsid w:val="00D81E7A"/>
    <w:rsid w:val="00D844EB"/>
    <w:rsid w:val="00D84A05"/>
    <w:rsid w:val="00D84DD5"/>
    <w:rsid w:val="00D85B67"/>
    <w:rsid w:val="00D85BA8"/>
    <w:rsid w:val="00D862D9"/>
    <w:rsid w:val="00D86630"/>
    <w:rsid w:val="00D86B1A"/>
    <w:rsid w:val="00D86D2D"/>
    <w:rsid w:val="00D8796D"/>
    <w:rsid w:val="00D90625"/>
    <w:rsid w:val="00D908DC"/>
    <w:rsid w:val="00D91059"/>
    <w:rsid w:val="00D913F6"/>
    <w:rsid w:val="00D917E9"/>
    <w:rsid w:val="00D9273B"/>
    <w:rsid w:val="00D9298F"/>
    <w:rsid w:val="00D940CF"/>
    <w:rsid w:val="00D94622"/>
    <w:rsid w:val="00D94629"/>
    <w:rsid w:val="00D94B97"/>
    <w:rsid w:val="00D953AA"/>
    <w:rsid w:val="00D957BC"/>
    <w:rsid w:val="00D9588E"/>
    <w:rsid w:val="00D95A50"/>
    <w:rsid w:val="00D96825"/>
    <w:rsid w:val="00D96A34"/>
    <w:rsid w:val="00D96B4B"/>
    <w:rsid w:val="00D96DFD"/>
    <w:rsid w:val="00D96E47"/>
    <w:rsid w:val="00D973E3"/>
    <w:rsid w:val="00D97B04"/>
    <w:rsid w:val="00D97B1D"/>
    <w:rsid w:val="00DA0309"/>
    <w:rsid w:val="00DA04BA"/>
    <w:rsid w:val="00DA0E6C"/>
    <w:rsid w:val="00DA10DE"/>
    <w:rsid w:val="00DA1302"/>
    <w:rsid w:val="00DA1992"/>
    <w:rsid w:val="00DA1C26"/>
    <w:rsid w:val="00DA2100"/>
    <w:rsid w:val="00DA237F"/>
    <w:rsid w:val="00DA295C"/>
    <w:rsid w:val="00DA29FA"/>
    <w:rsid w:val="00DA2B41"/>
    <w:rsid w:val="00DA3817"/>
    <w:rsid w:val="00DA3ABD"/>
    <w:rsid w:val="00DA43F6"/>
    <w:rsid w:val="00DA49A4"/>
    <w:rsid w:val="00DA4BA0"/>
    <w:rsid w:val="00DA4C44"/>
    <w:rsid w:val="00DA5253"/>
    <w:rsid w:val="00DA5298"/>
    <w:rsid w:val="00DA57FC"/>
    <w:rsid w:val="00DA613E"/>
    <w:rsid w:val="00DA6612"/>
    <w:rsid w:val="00DA6FBA"/>
    <w:rsid w:val="00DA73C1"/>
    <w:rsid w:val="00DA76E9"/>
    <w:rsid w:val="00DA785E"/>
    <w:rsid w:val="00DA7900"/>
    <w:rsid w:val="00DA7B4A"/>
    <w:rsid w:val="00DB03CB"/>
    <w:rsid w:val="00DB045A"/>
    <w:rsid w:val="00DB0D58"/>
    <w:rsid w:val="00DB1081"/>
    <w:rsid w:val="00DB1767"/>
    <w:rsid w:val="00DB17F3"/>
    <w:rsid w:val="00DB1CBB"/>
    <w:rsid w:val="00DB2711"/>
    <w:rsid w:val="00DB3C7D"/>
    <w:rsid w:val="00DB4BAC"/>
    <w:rsid w:val="00DB5394"/>
    <w:rsid w:val="00DB5463"/>
    <w:rsid w:val="00DB6374"/>
    <w:rsid w:val="00DB6530"/>
    <w:rsid w:val="00DB6788"/>
    <w:rsid w:val="00DB6A32"/>
    <w:rsid w:val="00DB72EC"/>
    <w:rsid w:val="00DB7645"/>
    <w:rsid w:val="00DB7646"/>
    <w:rsid w:val="00DB79D6"/>
    <w:rsid w:val="00DB7BA9"/>
    <w:rsid w:val="00DC0068"/>
    <w:rsid w:val="00DC06C4"/>
    <w:rsid w:val="00DC1DEB"/>
    <w:rsid w:val="00DC227F"/>
    <w:rsid w:val="00DC262A"/>
    <w:rsid w:val="00DC355E"/>
    <w:rsid w:val="00DC3F65"/>
    <w:rsid w:val="00DC4297"/>
    <w:rsid w:val="00DC4400"/>
    <w:rsid w:val="00DC4CB3"/>
    <w:rsid w:val="00DC52C1"/>
    <w:rsid w:val="00DC67EE"/>
    <w:rsid w:val="00DC7119"/>
    <w:rsid w:val="00DC7889"/>
    <w:rsid w:val="00DC7CFC"/>
    <w:rsid w:val="00DD0604"/>
    <w:rsid w:val="00DD08C7"/>
    <w:rsid w:val="00DD0B58"/>
    <w:rsid w:val="00DD0D3D"/>
    <w:rsid w:val="00DD14D8"/>
    <w:rsid w:val="00DD178E"/>
    <w:rsid w:val="00DD1D07"/>
    <w:rsid w:val="00DD21DA"/>
    <w:rsid w:val="00DD2287"/>
    <w:rsid w:val="00DD26E6"/>
    <w:rsid w:val="00DD3AF1"/>
    <w:rsid w:val="00DD3CDE"/>
    <w:rsid w:val="00DD4036"/>
    <w:rsid w:val="00DD4B31"/>
    <w:rsid w:val="00DD6477"/>
    <w:rsid w:val="00DE1845"/>
    <w:rsid w:val="00DE2EAF"/>
    <w:rsid w:val="00DE3578"/>
    <w:rsid w:val="00DE3F48"/>
    <w:rsid w:val="00DE426B"/>
    <w:rsid w:val="00DE454E"/>
    <w:rsid w:val="00DE4CCD"/>
    <w:rsid w:val="00DE5404"/>
    <w:rsid w:val="00DE629D"/>
    <w:rsid w:val="00DE68AF"/>
    <w:rsid w:val="00DE6C5A"/>
    <w:rsid w:val="00DE736D"/>
    <w:rsid w:val="00DE799A"/>
    <w:rsid w:val="00DE7C31"/>
    <w:rsid w:val="00DE7E24"/>
    <w:rsid w:val="00DF068F"/>
    <w:rsid w:val="00DF07BE"/>
    <w:rsid w:val="00DF0CB5"/>
    <w:rsid w:val="00DF0D1A"/>
    <w:rsid w:val="00DF2A2C"/>
    <w:rsid w:val="00DF30F3"/>
    <w:rsid w:val="00DF3784"/>
    <w:rsid w:val="00DF3995"/>
    <w:rsid w:val="00DF39AF"/>
    <w:rsid w:val="00DF437B"/>
    <w:rsid w:val="00DF480F"/>
    <w:rsid w:val="00DF5A70"/>
    <w:rsid w:val="00DF5B1C"/>
    <w:rsid w:val="00DF5CD8"/>
    <w:rsid w:val="00DF5FD6"/>
    <w:rsid w:val="00DF678E"/>
    <w:rsid w:val="00DF6ADC"/>
    <w:rsid w:val="00DF6B98"/>
    <w:rsid w:val="00DF72DA"/>
    <w:rsid w:val="00E0114D"/>
    <w:rsid w:val="00E021DB"/>
    <w:rsid w:val="00E02A8B"/>
    <w:rsid w:val="00E02E22"/>
    <w:rsid w:val="00E03036"/>
    <w:rsid w:val="00E03327"/>
    <w:rsid w:val="00E03B22"/>
    <w:rsid w:val="00E0434F"/>
    <w:rsid w:val="00E04DBE"/>
    <w:rsid w:val="00E05B11"/>
    <w:rsid w:val="00E05D48"/>
    <w:rsid w:val="00E060E4"/>
    <w:rsid w:val="00E074BE"/>
    <w:rsid w:val="00E074E3"/>
    <w:rsid w:val="00E076CD"/>
    <w:rsid w:val="00E07927"/>
    <w:rsid w:val="00E10E7C"/>
    <w:rsid w:val="00E1106B"/>
    <w:rsid w:val="00E114C8"/>
    <w:rsid w:val="00E11A62"/>
    <w:rsid w:val="00E11C89"/>
    <w:rsid w:val="00E11C91"/>
    <w:rsid w:val="00E11E92"/>
    <w:rsid w:val="00E124C0"/>
    <w:rsid w:val="00E124C6"/>
    <w:rsid w:val="00E1278C"/>
    <w:rsid w:val="00E12854"/>
    <w:rsid w:val="00E12EC0"/>
    <w:rsid w:val="00E130AA"/>
    <w:rsid w:val="00E13262"/>
    <w:rsid w:val="00E135BA"/>
    <w:rsid w:val="00E1411F"/>
    <w:rsid w:val="00E1548F"/>
    <w:rsid w:val="00E15B18"/>
    <w:rsid w:val="00E1603D"/>
    <w:rsid w:val="00E1741E"/>
    <w:rsid w:val="00E17426"/>
    <w:rsid w:val="00E177A0"/>
    <w:rsid w:val="00E20A06"/>
    <w:rsid w:val="00E20BF2"/>
    <w:rsid w:val="00E20E52"/>
    <w:rsid w:val="00E2132E"/>
    <w:rsid w:val="00E21404"/>
    <w:rsid w:val="00E21CB3"/>
    <w:rsid w:val="00E21E02"/>
    <w:rsid w:val="00E21FCD"/>
    <w:rsid w:val="00E23D07"/>
    <w:rsid w:val="00E24A3B"/>
    <w:rsid w:val="00E25332"/>
    <w:rsid w:val="00E253E9"/>
    <w:rsid w:val="00E25A56"/>
    <w:rsid w:val="00E25FA3"/>
    <w:rsid w:val="00E2683A"/>
    <w:rsid w:val="00E26FDD"/>
    <w:rsid w:val="00E30117"/>
    <w:rsid w:val="00E3037A"/>
    <w:rsid w:val="00E30FEA"/>
    <w:rsid w:val="00E311EA"/>
    <w:rsid w:val="00E32158"/>
    <w:rsid w:val="00E322CE"/>
    <w:rsid w:val="00E32D0E"/>
    <w:rsid w:val="00E330D2"/>
    <w:rsid w:val="00E330DB"/>
    <w:rsid w:val="00E33AB9"/>
    <w:rsid w:val="00E33FA3"/>
    <w:rsid w:val="00E342CB"/>
    <w:rsid w:val="00E3447F"/>
    <w:rsid w:val="00E348CC"/>
    <w:rsid w:val="00E3506E"/>
    <w:rsid w:val="00E36201"/>
    <w:rsid w:val="00E36582"/>
    <w:rsid w:val="00E36688"/>
    <w:rsid w:val="00E36E08"/>
    <w:rsid w:val="00E4068C"/>
    <w:rsid w:val="00E4074E"/>
    <w:rsid w:val="00E41391"/>
    <w:rsid w:val="00E42244"/>
    <w:rsid w:val="00E42668"/>
    <w:rsid w:val="00E42DD9"/>
    <w:rsid w:val="00E43017"/>
    <w:rsid w:val="00E43188"/>
    <w:rsid w:val="00E432C7"/>
    <w:rsid w:val="00E43372"/>
    <w:rsid w:val="00E44350"/>
    <w:rsid w:val="00E44FFE"/>
    <w:rsid w:val="00E45150"/>
    <w:rsid w:val="00E454DA"/>
    <w:rsid w:val="00E45AA0"/>
    <w:rsid w:val="00E45BC5"/>
    <w:rsid w:val="00E45F86"/>
    <w:rsid w:val="00E46389"/>
    <w:rsid w:val="00E46621"/>
    <w:rsid w:val="00E46CD0"/>
    <w:rsid w:val="00E46F41"/>
    <w:rsid w:val="00E47452"/>
    <w:rsid w:val="00E475BE"/>
    <w:rsid w:val="00E4771C"/>
    <w:rsid w:val="00E47A35"/>
    <w:rsid w:val="00E501B6"/>
    <w:rsid w:val="00E50296"/>
    <w:rsid w:val="00E50F6F"/>
    <w:rsid w:val="00E513BD"/>
    <w:rsid w:val="00E516B4"/>
    <w:rsid w:val="00E5195B"/>
    <w:rsid w:val="00E5228B"/>
    <w:rsid w:val="00E5344E"/>
    <w:rsid w:val="00E534C2"/>
    <w:rsid w:val="00E538F2"/>
    <w:rsid w:val="00E53A1B"/>
    <w:rsid w:val="00E53ED8"/>
    <w:rsid w:val="00E5441D"/>
    <w:rsid w:val="00E5441E"/>
    <w:rsid w:val="00E55B66"/>
    <w:rsid w:val="00E5758D"/>
    <w:rsid w:val="00E6020C"/>
    <w:rsid w:val="00E603F0"/>
    <w:rsid w:val="00E6050B"/>
    <w:rsid w:val="00E60713"/>
    <w:rsid w:val="00E608D1"/>
    <w:rsid w:val="00E60CD4"/>
    <w:rsid w:val="00E60ED1"/>
    <w:rsid w:val="00E611E4"/>
    <w:rsid w:val="00E61C27"/>
    <w:rsid w:val="00E61E56"/>
    <w:rsid w:val="00E6227D"/>
    <w:rsid w:val="00E62E95"/>
    <w:rsid w:val="00E6387A"/>
    <w:rsid w:val="00E63D14"/>
    <w:rsid w:val="00E64A3B"/>
    <w:rsid w:val="00E656E6"/>
    <w:rsid w:val="00E657D6"/>
    <w:rsid w:val="00E65BD6"/>
    <w:rsid w:val="00E65DC5"/>
    <w:rsid w:val="00E66402"/>
    <w:rsid w:val="00E66831"/>
    <w:rsid w:val="00E669F1"/>
    <w:rsid w:val="00E677CB"/>
    <w:rsid w:val="00E67996"/>
    <w:rsid w:val="00E70871"/>
    <w:rsid w:val="00E71A96"/>
    <w:rsid w:val="00E72679"/>
    <w:rsid w:val="00E72810"/>
    <w:rsid w:val="00E7386C"/>
    <w:rsid w:val="00E756FE"/>
    <w:rsid w:val="00E757B5"/>
    <w:rsid w:val="00E7591E"/>
    <w:rsid w:val="00E75DAE"/>
    <w:rsid w:val="00E75E61"/>
    <w:rsid w:val="00E76537"/>
    <w:rsid w:val="00E76A11"/>
    <w:rsid w:val="00E7788B"/>
    <w:rsid w:val="00E77C63"/>
    <w:rsid w:val="00E80217"/>
    <w:rsid w:val="00E8087A"/>
    <w:rsid w:val="00E80FB6"/>
    <w:rsid w:val="00E8132D"/>
    <w:rsid w:val="00E8136A"/>
    <w:rsid w:val="00E816DF"/>
    <w:rsid w:val="00E8170F"/>
    <w:rsid w:val="00E82766"/>
    <w:rsid w:val="00E82BF6"/>
    <w:rsid w:val="00E8435E"/>
    <w:rsid w:val="00E8467F"/>
    <w:rsid w:val="00E846F3"/>
    <w:rsid w:val="00E84D67"/>
    <w:rsid w:val="00E85804"/>
    <w:rsid w:val="00E859A7"/>
    <w:rsid w:val="00E86C74"/>
    <w:rsid w:val="00E86DB2"/>
    <w:rsid w:val="00E86DBD"/>
    <w:rsid w:val="00E86F13"/>
    <w:rsid w:val="00E87192"/>
    <w:rsid w:val="00E877C7"/>
    <w:rsid w:val="00E878D7"/>
    <w:rsid w:val="00E9013A"/>
    <w:rsid w:val="00E90161"/>
    <w:rsid w:val="00E9124A"/>
    <w:rsid w:val="00E913D8"/>
    <w:rsid w:val="00E91918"/>
    <w:rsid w:val="00E91B6B"/>
    <w:rsid w:val="00E92553"/>
    <w:rsid w:val="00E93097"/>
    <w:rsid w:val="00E930F7"/>
    <w:rsid w:val="00E9323F"/>
    <w:rsid w:val="00E93EFC"/>
    <w:rsid w:val="00E95291"/>
    <w:rsid w:val="00E95A4B"/>
    <w:rsid w:val="00E95C36"/>
    <w:rsid w:val="00E96247"/>
    <w:rsid w:val="00E967BC"/>
    <w:rsid w:val="00E971AD"/>
    <w:rsid w:val="00E97263"/>
    <w:rsid w:val="00E97ABE"/>
    <w:rsid w:val="00EA0053"/>
    <w:rsid w:val="00EA03C4"/>
    <w:rsid w:val="00EA065B"/>
    <w:rsid w:val="00EA07FA"/>
    <w:rsid w:val="00EA098B"/>
    <w:rsid w:val="00EA0A9E"/>
    <w:rsid w:val="00EA141D"/>
    <w:rsid w:val="00EA199F"/>
    <w:rsid w:val="00EA20F9"/>
    <w:rsid w:val="00EA21F6"/>
    <w:rsid w:val="00EA2C51"/>
    <w:rsid w:val="00EA37ED"/>
    <w:rsid w:val="00EA3993"/>
    <w:rsid w:val="00EA4322"/>
    <w:rsid w:val="00EA49DD"/>
    <w:rsid w:val="00EA4B7E"/>
    <w:rsid w:val="00EA4E93"/>
    <w:rsid w:val="00EA55F1"/>
    <w:rsid w:val="00EA58B2"/>
    <w:rsid w:val="00EA5B03"/>
    <w:rsid w:val="00EA670B"/>
    <w:rsid w:val="00EA6C61"/>
    <w:rsid w:val="00EA74C8"/>
    <w:rsid w:val="00EB0339"/>
    <w:rsid w:val="00EB1A69"/>
    <w:rsid w:val="00EB1CD9"/>
    <w:rsid w:val="00EB1FD2"/>
    <w:rsid w:val="00EB2190"/>
    <w:rsid w:val="00EB2753"/>
    <w:rsid w:val="00EB2B71"/>
    <w:rsid w:val="00EB2E40"/>
    <w:rsid w:val="00EB3651"/>
    <w:rsid w:val="00EB4AB7"/>
    <w:rsid w:val="00EB4BD0"/>
    <w:rsid w:val="00EB5857"/>
    <w:rsid w:val="00EB6753"/>
    <w:rsid w:val="00EB6A22"/>
    <w:rsid w:val="00EB71AA"/>
    <w:rsid w:val="00EB75C6"/>
    <w:rsid w:val="00EB7E7E"/>
    <w:rsid w:val="00EC1288"/>
    <w:rsid w:val="00EC288A"/>
    <w:rsid w:val="00EC2CE4"/>
    <w:rsid w:val="00EC30AE"/>
    <w:rsid w:val="00EC36EC"/>
    <w:rsid w:val="00EC40A6"/>
    <w:rsid w:val="00EC4901"/>
    <w:rsid w:val="00EC54A2"/>
    <w:rsid w:val="00EC6AD3"/>
    <w:rsid w:val="00ED1521"/>
    <w:rsid w:val="00ED152C"/>
    <w:rsid w:val="00ED2069"/>
    <w:rsid w:val="00ED2AB3"/>
    <w:rsid w:val="00ED2CB6"/>
    <w:rsid w:val="00ED3067"/>
    <w:rsid w:val="00ED3476"/>
    <w:rsid w:val="00ED3A4F"/>
    <w:rsid w:val="00ED3B26"/>
    <w:rsid w:val="00ED3BFE"/>
    <w:rsid w:val="00ED3C4A"/>
    <w:rsid w:val="00ED3EE2"/>
    <w:rsid w:val="00ED53FA"/>
    <w:rsid w:val="00ED5458"/>
    <w:rsid w:val="00ED5953"/>
    <w:rsid w:val="00ED5BAD"/>
    <w:rsid w:val="00ED5DF0"/>
    <w:rsid w:val="00ED6A0C"/>
    <w:rsid w:val="00ED6E05"/>
    <w:rsid w:val="00ED6E8E"/>
    <w:rsid w:val="00ED7072"/>
    <w:rsid w:val="00ED778D"/>
    <w:rsid w:val="00ED7AB9"/>
    <w:rsid w:val="00EE00EE"/>
    <w:rsid w:val="00EE1107"/>
    <w:rsid w:val="00EE1707"/>
    <w:rsid w:val="00EE1933"/>
    <w:rsid w:val="00EE2405"/>
    <w:rsid w:val="00EE2914"/>
    <w:rsid w:val="00EE2E46"/>
    <w:rsid w:val="00EE3884"/>
    <w:rsid w:val="00EE3B24"/>
    <w:rsid w:val="00EE3CA1"/>
    <w:rsid w:val="00EE3F70"/>
    <w:rsid w:val="00EE40C7"/>
    <w:rsid w:val="00EE4249"/>
    <w:rsid w:val="00EE4C2C"/>
    <w:rsid w:val="00EE5162"/>
    <w:rsid w:val="00EE559C"/>
    <w:rsid w:val="00EE5A40"/>
    <w:rsid w:val="00EE6EF1"/>
    <w:rsid w:val="00EE7CB9"/>
    <w:rsid w:val="00EF00E4"/>
    <w:rsid w:val="00EF0748"/>
    <w:rsid w:val="00EF12FB"/>
    <w:rsid w:val="00EF1528"/>
    <w:rsid w:val="00EF1B70"/>
    <w:rsid w:val="00EF2080"/>
    <w:rsid w:val="00EF4A63"/>
    <w:rsid w:val="00EF4FAC"/>
    <w:rsid w:val="00EF5767"/>
    <w:rsid w:val="00EF5CBD"/>
    <w:rsid w:val="00EF63A7"/>
    <w:rsid w:val="00EF6F5F"/>
    <w:rsid w:val="00EF7108"/>
    <w:rsid w:val="00EF7247"/>
    <w:rsid w:val="00EF76A0"/>
    <w:rsid w:val="00F00EDE"/>
    <w:rsid w:val="00F01488"/>
    <w:rsid w:val="00F02692"/>
    <w:rsid w:val="00F044AC"/>
    <w:rsid w:val="00F04A3B"/>
    <w:rsid w:val="00F0577F"/>
    <w:rsid w:val="00F063C1"/>
    <w:rsid w:val="00F06935"/>
    <w:rsid w:val="00F06E94"/>
    <w:rsid w:val="00F06ED4"/>
    <w:rsid w:val="00F0716B"/>
    <w:rsid w:val="00F071EE"/>
    <w:rsid w:val="00F078D1"/>
    <w:rsid w:val="00F07F3E"/>
    <w:rsid w:val="00F101F5"/>
    <w:rsid w:val="00F11392"/>
    <w:rsid w:val="00F119FC"/>
    <w:rsid w:val="00F1204B"/>
    <w:rsid w:val="00F12168"/>
    <w:rsid w:val="00F1228D"/>
    <w:rsid w:val="00F123A4"/>
    <w:rsid w:val="00F123FC"/>
    <w:rsid w:val="00F12883"/>
    <w:rsid w:val="00F13453"/>
    <w:rsid w:val="00F154E2"/>
    <w:rsid w:val="00F156D4"/>
    <w:rsid w:val="00F168FA"/>
    <w:rsid w:val="00F16E34"/>
    <w:rsid w:val="00F17319"/>
    <w:rsid w:val="00F178B7"/>
    <w:rsid w:val="00F200DF"/>
    <w:rsid w:val="00F201AC"/>
    <w:rsid w:val="00F212B4"/>
    <w:rsid w:val="00F2217A"/>
    <w:rsid w:val="00F22AEF"/>
    <w:rsid w:val="00F22F63"/>
    <w:rsid w:val="00F22FA8"/>
    <w:rsid w:val="00F23942"/>
    <w:rsid w:val="00F239C5"/>
    <w:rsid w:val="00F246F5"/>
    <w:rsid w:val="00F24D34"/>
    <w:rsid w:val="00F255B8"/>
    <w:rsid w:val="00F260C4"/>
    <w:rsid w:val="00F26289"/>
    <w:rsid w:val="00F264E3"/>
    <w:rsid w:val="00F26947"/>
    <w:rsid w:val="00F3021A"/>
    <w:rsid w:val="00F318A9"/>
    <w:rsid w:val="00F32E48"/>
    <w:rsid w:val="00F33F6E"/>
    <w:rsid w:val="00F34019"/>
    <w:rsid w:val="00F3468D"/>
    <w:rsid w:val="00F34C6F"/>
    <w:rsid w:val="00F35535"/>
    <w:rsid w:val="00F35E81"/>
    <w:rsid w:val="00F35F22"/>
    <w:rsid w:val="00F36046"/>
    <w:rsid w:val="00F36AD2"/>
    <w:rsid w:val="00F36D37"/>
    <w:rsid w:val="00F36FC0"/>
    <w:rsid w:val="00F377C0"/>
    <w:rsid w:val="00F40574"/>
    <w:rsid w:val="00F406AF"/>
    <w:rsid w:val="00F409CA"/>
    <w:rsid w:val="00F40B38"/>
    <w:rsid w:val="00F40F32"/>
    <w:rsid w:val="00F4146E"/>
    <w:rsid w:val="00F42326"/>
    <w:rsid w:val="00F4249B"/>
    <w:rsid w:val="00F43193"/>
    <w:rsid w:val="00F432AC"/>
    <w:rsid w:val="00F4344B"/>
    <w:rsid w:val="00F43B70"/>
    <w:rsid w:val="00F44341"/>
    <w:rsid w:val="00F449E9"/>
    <w:rsid w:val="00F450FC"/>
    <w:rsid w:val="00F452BE"/>
    <w:rsid w:val="00F4563D"/>
    <w:rsid w:val="00F456B7"/>
    <w:rsid w:val="00F45894"/>
    <w:rsid w:val="00F46096"/>
    <w:rsid w:val="00F46393"/>
    <w:rsid w:val="00F46976"/>
    <w:rsid w:val="00F46EF4"/>
    <w:rsid w:val="00F47CE6"/>
    <w:rsid w:val="00F47E3E"/>
    <w:rsid w:val="00F50560"/>
    <w:rsid w:val="00F509C3"/>
    <w:rsid w:val="00F50AE2"/>
    <w:rsid w:val="00F50B51"/>
    <w:rsid w:val="00F50EA4"/>
    <w:rsid w:val="00F50FAB"/>
    <w:rsid w:val="00F51773"/>
    <w:rsid w:val="00F51872"/>
    <w:rsid w:val="00F5188F"/>
    <w:rsid w:val="00F51CA5"/>
    <w:rsid w:val="00F52FDE"/>
    <w:rsid w:val="00F539B7"/>
    <w:rsid w:val="00F546E7"/>
    <w:rsid w:val="00F548EF"/>
    <w:rsid w:val="00F54DE8"/>
    <w:rsid w:val="00F551E3"/>
    <w:rsid w:val="00F55A5E"/>
    <w:rsid w:val="00F55BAF"/>
    <w:rsid w:val="00F55F17"/>
    <w:rsid w:val="00F56B57"/>
    <w:rsid w:val="00F57B2E"/>
    <w:rsid w:val="00F602D2"/>
    <w:rsid w:val="00F6043C"/>
    <w:rsid w:val="00F60630"/>
    <w:rsid w:val="00F60668"/>
    <w:rsid w:val="00F61094"/>
    <w:rsid w:val="00F615D1"/>
    <w:rsid w:val="00F621AE"/>
    <w:rsid w:val="00F62970"/>
    <w:rsid w:val="00F63382"/>
    <w:rsid w:val="00F637A5"/>
    <w:rsid w:val="00F63CF3"/>
    <w:rsid w:val="00F64F0D"/>
    <w:rsid w:val="00F65247"/>
    <w:rsid w:val="00F656D4"/>
    <w:rsid w:val="00F66A2A"/>
    <w:rsid w:val="00F66B21"/>
    <w:rsid w:val="00F67B0D"/>
    <w:rsid w:val="00F70094"/>
    <w:rsid w:val="00F71112"/>
    <w:rsid w:val="00F72462"/>
    <w:rsid w:val="00F727A4"/>
    <w:rsid w:val="00F72A2A"/>
    <w:rsid w:val="00F73108"/>
    <w:rsid w:val="00F73505"/>
    <w:rsid w:val="00F73C5C"/>
    <w:rsid w:val="00F74019"/>
    <w:rsid w:val="00F74DEB"/>
    <w:rsid w:val="00F74F71"/>
    <w:rsid w:val="00F758F4"/>
    <w:rsid w:val="00F75F48"/>
    <w:rsid w:val="00F77320"/>
    <w:rsid w:val="00F77624"/>
    <w:rsid w:val="00F80FA9"/>
    <w:rsid w:val="00F8148A"/>
    <w:rsid w:val="00F81E4D"/>
    <w:rsid w:val="00F81FEB"/>
    <w:rsid w:val="00F825B2"/>
    <w:rsid w:val="00F836D4"/>
    <w:rsid w:val="00F844BF"/>
    <w:rsid w:val="00F84509"/>
    <w:rsid w:val="00F846E4"/>
    <w:rsid w:val="00F8590F"/>
    <w:rsid w:val="00F85FBB"/>
    <w:rsid w:val="00F86A33"/>
    <w:rsid w:val="00F86A6A"/>
    <w:rsid w:val="00F872CB"/>
    <w:rsid w:val="00F90364"/>
    <w:rsid w:val="00F90594"/>
    <w:rsid w:val="00F9197D"/>
    <w:rsid w:val="00F91A07"/>
    <w:rsid w:val="00F91FC4"/>
    <w:rsid w:val="00F92B43"/>
    <w:rsid w:val="00F938B7"/>
    <w:rsid w:val="00F93EC0"/>
    <w:rsid w:val="00F94B30"/>
    <w:rsid w:val="00F94C10"/>
    <w:rsid w:val="00F94EE7"/>
    <w:rsid w:val="00F94F93"/>
    <w:rsid w:val="00F95036"/>
    <w:rsid w:val="00F95BB8"/>
    <w:rsid w:val="00F95F09"/>
    <w:rsid w:val="00F96F2C"/>
    <w:rsid w:val="00F97357"/>
    <w:rsid w:val="00F976A3"/>
    <w:rsid w:val="00FA02FF"/>
    <w:rsid w:val="00FA0A3E"/>
    <w:rsid w:val="00FA139F"/>
    <w:rsid w:val="00FA1CEC"/>
    <w:rsid w:val="00FA2228"/>
    <w:rsid w:val="00FA2375"/>
    <w:rsid w:val="00FA34D8"/>
    <w:rsid w:val="00FA37E2"/>
    <w:rsid w:val="00FA38BC"/>
    <w:rsid w:val="00FA4249"/>
    <w:rsid w:val="00FA44B7"/>
    <w:rsid w:val="00FA4A67"/>
    <w:rsid w:val="00FA4F6A"/>
    <w:rsid w:val="00FA523D"/>
    <w:rsid w:val="00FA57C2"/>
    <w:rsid w:val="00FA5867"/>
    <w:rsid w:val="00FA5D43"/>
    <w:rsid w:val="00FA7476"/>
    <w:rsid w:val="00FA75BB"/>
    <w:rsid w:val="00FB02C3"/>
    <w:rsid w:val="00FB087F"/>
    <w:rsid w:val="00FB08E8"/>
    <w:rsid w:val="00FB0A33"/>
    <w:rsid w:val="00FB2331"/>
    <w:rsid w:val="00FB2D9D"/>
    <w:rsid w:val="00FB31C1"/>
    <w:rsid w:val="00FB3DEE"/>
    <w:rsid w:val="00FB3F0D"/>
    <w:rsid w:val="00FB43D9"/>
    <w:rsid w:val="00FB49BA"/>
    <w:rsid w:val="00FB4C28"/>
    <w:rsid w:val="00FB4CB8"/>
    <w:rsid w:val="00FB51AE"/>
    <w:rsid w:val="00FB6470"/>
    <w:rsid w:val="00FB664D"/>
    <w:rsid w:val="00FB7FA0"/>
    <w:rsid w:val="00FB7FC0"/>
    <w:rsid w:val="00FC05A9"/>
    <w:rsid w:val="00FC0A31"/>
    <w:rsid w:val="00FC0A45"/>
    <w:rsid w:val="00FC0BEC"/>
    <w:rsid w:val="00FC11B3"/>
    <w:rsid w:val="00FC1786"/>
    <w:rsid w:val="00FC1B18"/>
    <w:rsid w:val="00FC1CCD"/>
    <w:rsid w:val="00FC228E"/>
    <w:rsid w:val="00FC25F3"/>
    <w:rsid w:val="00FC29A6"/>
    <w:rsid w:val="00FC2B8B"/>
    <w:rsid w:val="00FC2E46"/>
    <w:rsid w:val="00FC3373"/>
    <w:rsid w:val="00FC3D09"/>
    <w:rsid w:val="00FC3EEA"/>
    <w:rsid w:val="00FC4361"/>
    <w:rsid w:val="00FC44B7"/>
    <w:rsid w:val="00FC544D"/>
    <w:rsid w:val="00FC592F"/>
    <w:rsid w:val="00FC60D2"/>
    <w:rsid w:val="00FC60F4"/>
    <w:rsid w:val="00FC71DC"/>
    <w:rsid w:val="00FC7D1E"/>
    <w:rsid w:val="00FC7DDE"/>
    <w:rsid w:val="00FD0622"/>
    <w:rsid w:val="00FD0901"/>
    <w:rsid w:val="00FD0D7A"/>
    <w:rsid w:val="00FD141B"/>
    <w:rsid w:val="00FD1B66"/>
    <w:rsid w:val="00FD2091"/>
    <w:rsid w:val="00FD28F9"/>
    <w:rsid w:val="00FD2A38"/>
    <w:rsid w:val="00FD34A3"/>
    <w:rsid w:val="00FD3BBF"/>
    <w:rsid w:val="00FD40B0"/>
    <w:rsid w:val="00FD4AB9"/>
    <w:rsid w:val="00FD5187"/>
    <w:rsid w:val="00FD5595"/>
    <w:rsid w:val="00FD64D7"/>
    <w:rsid w:val="00FD6847"/>
    <w:rsid w:val="00FD6CF0"/>
    <w:rsid w:val="00FD6DC9"/>
    <w:rsid w:val="00FD6EC8"/>
    <w:rsid w:val="00FD7721"/>
    <w:rsid w:val="00FD7965"/>
    <w:rsid w:val="00FE00CE"/>
    <w:rsid w:val="00FE041D"/>
    <w:rsid w:val="00FE08DA"/>
    <w:rsid w:val="00FE24D6"/>
    <w:rsid w:val="00FE26A7"/>
    <w:rsid w:val="00FE2BDE"/>
    <w:rsid w:val="00FE518A"/>
    <w:rsid w:val="00FE51A7"/>
    <w:rsid w:val="00FE58D6"/>
    <w:rsid w:val="00FE5DB9"/>
    <w:rsid w:val="00FE5E77"/>
    <w:rsid w:val="00FF0860"/>
    <w:rsid w:val="00FF0C19"/>
    <w:rsid w:val="00FF0DBB"/>
    <w:rsid w:val="00FF0F59"/>
    <w:rsid w:val="00FF146E"/>
    <w:rsid w:val="00FF3AE2"/>
    <w:rsid w:val="00FF3D3E"/>
    <w:rsid w:val="00FF3E23"/>
    <w:rsid w:val="00FF3FEA"/>
    <w:rsid w:val="00FF43A7"/>
    <w:rsid w:val="00FF5488"/>
    <w:rsid w:val="00FF561C"/>
    <w:rsid w:val="00FF58F4"/>
    <w:rsid w:val="00FF58FE"/>
    <w:rsid w:val="00FF5F64"/>
    <w:rsid w:val="00FF5F80"/>
    <w:rsid w:val="00FF68EF"/>
    <w:rsid w:val="00FF6DDF"/>
    <w:rsid w:val="00FF78C9"/>
    <w:rsid w:val="00FF7E5F"/>
    <w:rsid w:val="00FF7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lassic 1" w:uiPriority="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7"/>
    <w:rPr>
      <w:rFonts w:ascii="Arial" w:hAnsi="Arial" w:cs="Arial"/>
      <w:sz w:val="24"/>
      <w:szCs w:val="24"/>
    </w:rPr>
  </w:style>
  <w:style w:type="paragraph" w:styleId="Ttulo1">
    <w:name w:val="heading 1"/>
    <w:basedOn w:val="Normal"/>
    <w:next w:val="Normal"/>
    <w:link w:val="Ttulo1Car"/>
    <w:uiPriority w:val="99"/>
    <w:qFormat/>
    <w:rsid w:val="00846AB9"/>
    <w:pPr>
      <w:keepNext/>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846AB9"/>
    <w:pPr>
      <w:keepNext/>
      <w:outlineLvl w:val="1"/>
    </w:pPr>
    <w:rPr>
      <w:rFonts w:ascii="Cambria" w:hAnsi="Cambria" w:cs="Times New Roman"/>
      <w:b/>
      <w:bCs/>
      <w:i/>
      <w:iCs/>
      <w:sz w:val="28"/>
      <w:szCs w:val="28"/>
    </w:rPr>
  </w:style>
  <w:style w:type="paragraph" w:styleId="Ttulo5">
    <w:name w:val="heading 5"/>
    <w:basedOn w:val="Normal"/>
    <w:next w:val="Normal"/>
    <w:link w:val="Ttulo5Car"/>
    <w:uiPriority w:val="99"/>
    <w:qFormat/>
    <w:rsid w:val="00222BD6"/>
    <w:pPr>
      <w:spacing w:before="240" w:after="60"/>
      <w:outlineLvl w:val="4"/>
    </w:pPr>
    <w:rPr>
      <w:rFonts w:ascii="Calibri" w:hAnsi="Calibri" w:cs="Times New Roman"/>
      <w:b/>
      <w:i/>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C1269"/>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sid w:val="008C1269"/>
    <w:rPr>
      <w:rFonts w:ascii="Cambria" w:hAnsi="Cambria" w:cs="Times New Roman"/>
      <w:b/>
      <w:bCs/>
      <w:i/>
      <w:iCs/>
      <w:sz w:val="28"/>
      <w:szCs w:val="28"/>
      <w:lang w:val="es-ES" w:eastAsia="es-ES"/>
    </w:rPr>
  </w:style>
  <w:style w:type="character" w:customStyle="1" w:styleId="Ttulo5Car">
    <w:name w:val="Título 5 Car"/>
    <w:link w:val="Ttulo5"/>
    <w:uiPriority w:val="99"/>
    <w:semiHidden/>
    <w:locked/>
    <w:rsid w:val="00222BD6"/>
    <w:rPr>
      <w:rFonts w:ascii="Calibri" w:hAnsi="Calibri" w:cs="Times New Roman"/>
      <w:b/>
      <w:i/>
      <w:sz w:val="26"/>
    </w:rPr>
  </w:style>
  <w:style w:type="paragraph" w:styleId="Encabezado">
    <w:name w:val="header"/>
    <w:basedOn w:val="Normal"/>
    <w:link w:val="EncabezadoCar"/>
    <w:rsid w:val="00145CF4"/>
    <w:pPr>
      <w:tabs>
        <w:tab w:val="center" w:pos="4419"/>
        <w:tab w:val="right" w:pos="8838"/>
      </w:tabs>
    </w:pPr>
    <w:rPr>
      <w:rFonts w:cs="Times New Roman"/>
    </w:rPr>
  </w:style>
  <w:style w:type="character" w:customStyle="1" w:styleId="EncabezadoCar">
    <w:name w:val="Encabezado Car"/>
    <w:link w:val="Encabezado"/>
    <w:locked/>
    <w:rsid w:val="008C1269"/>
    <w:rPr>
      <w:rFonts w:ascii="Arial" w:hAnsi="Arial" w:cs="Arial"/>
      <w:sz w:val="24"/>
      <w:szCs w:val="24"/>
      <w:lang w:val="es-ES" w:eastAsia="es-ES"/>
    </w:rPr>
  </w:style>
  <w:style w:type="paragraph" w:styleId="Piedepgina">
    <w:name w:val="footer"/>
    <w:basedOn w:val="Normal"/>
    <w:link w:val="PiedepginaCar"/>
    <w:uiPriority w:val="99"/>
    <w:rsid w:val="00145CF4"/>
    <w:pPr>
      <w:tabs>
        <w:tab w:val="center" w:pos="4419"/>
        <w:tab w:val="right" w:pos="8838"/>
      </w:tabs>
    </w:pPr>
    <w:rPr>
      <w:rFonts w:cs="Times New Roman"/>
    </w:rPr>
  </w:style>
  <w:style w:type="character" w:customStyle="1" w:styleId="PiedepginaCar">
    <w:name w:val="Pie de página Car"/>
    <w:link w:val="Piedepgina"/>
    <w:uiPriority w:val="99"/>
    <w:semiHidden/>
    <w:locked/>
    <w:rsid w:val="008C1269"/>
    <w:rPr>
      <w:rFonts w:ascii="Arial" w:hAnsi="Arial" w:cs="Arial"/>
      <w:sz w:val="24"/>
      <w:szCs w:val="24"/>
      <w:lang w:val="es-ES" w:eastAsia="es-ES"/>
    </w:rPr>
  </w:style>
  <w:style w:type="table" w:styleId="Tablaconcuadrcula">
    <w:name w:val="Table Grid"/>
    <w:basedOn w:val="Tablaconefectos3D3"/>
    <w:rsid w:val="0014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pie">
    <w:name w:val="footnote text"/>
    <w:basedOn w:val="Normal"/>
    <w:link w:val="TextonotapieCar"/>
    <w:uiPriority w:val="99"/>
    <w:rsid w:val="00145CF4"/>
    <w:rPr>
      <w:rFonts w:ascii="Times New Roman" w:hAnsi="Times New Roman" w:cs="Times New Roman"/>
      <w:sz w:val="20"/>
      <w:szCs w:val="20"/>
    </w:rPr>
  </w:style>
  <w:style w:type="character" w:customStyle="1" w:styleId="TextonotapieCar">
    <w:name w:val="Texto nota pie Car"/>
    <w:link w:val="Textonotapie"/>
    <w:uiPriority w:val="99"/>
    <w:locked/>
    <w:rsid w:val="001C3D30"/>
    <w:rPr>
      <w:rFonts w:cs="Times New Roman"/>
    </w:rPr>
  </w:style>
  <w:style w:type="character" w:styleId="Refdenotaalpie">
    <w:name w:val="footnote reference"/>
    <w:rsid w:val="00145CF4"/>
    <w:rPr>
      <w:rFonts w:cs="Times New Roman"/>
      <w:vertAlign w:val="superscript"/>
    </w:rPr>
  </w:style>
  <w:style w:type="paragraph" w:styleId="Textoindependiente">
    <w:name w:val="Body Text"/>
    <w:basedOn w:val="Normal"/>
    <w:link w:val="TextoindependienteCar"/>
    <w:uiPriority w:val="99"/>
    <w:rsid w:val="00145CF4"/>
    <w:pPr>
      <w:spacing w:after="120"/>
    </w:pPr>
    <w:rPr>
      <w:rFonts w:cs="Times New Roman"/>
    </w:rPr>
  </w:style>
  <w:style w:type="character" w:customStyle="1" w:styleId="TextoindependienteCar">
    <w:name w:val="Texto independiente Car"/>
    <w:link w:val="Textoindependiente"/>
    <w:uiPriority w:val="99"/>
    <w:semiHidden/>
    <w:locked/>
    <w:rsid w:val="008C1269"/>
    <w:rPr>
      <w:rFonts w:ascii="Arial" w:hAnsi="Arial" w:cs="Arial"/>
      <w:sz w:val="24"/>
      <w:szCs w:val="24"/>
      <w:lang w:val="es-ES" w:eastAsia="es-ES"/>
    </w:rPr>
  </w:style>
  <w:style w:type="paragraph" w:styleId="NormalWeb">
    <w:name w:val="Normal (Web)"/>
    <w:basedOn w:val="Normal"/>
    <w:uiPriority w:val="99"/>
    <w:rsid w:val="0076133D"/>
    <w:pPr>
      <w:spacing w:before="100" w:beforeAutospacing="1" w:after="100" w:afterAutospacing="1"/>
    </w:pPr>
    <w:rPr>
      <w:rFonts w:ascii="Times New Roman" w:hAnsi="Times New Roman" w:cs="Times New Roman"/>
    </w:rPr>
  </w:style>
  <w:style w:type="table" w:styleId="Tablaweb2">
    <w:name w:val="Table Web 2"/>
    <w:basedOn w:val="Tablanormal"/>
    <w:uiPriority w:val="99"/>
    <w:rsid w:val="00FF3D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vistosa1">
    <w:name w:val="Table Colorful 1"/>
    <w:basedOn w:val="Tablanormal"/>
    <w:uiPriority w:val="99"/>
    <w:rsid w:val="003028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web1">
    <w:name w:val="Table Web 1"/>
    <w:basedOn w:val="Tablanormal"/>
    <w:uiPriority w:val="99"/>
    <w:rsid w:val="008708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8708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ipervnculo">
    <w:name w:val="Hyperlink"/>
    <w:uiPriority w:val="99"/>
    <w:rsid w:val="002745A0"/>
    <w:rPr>
      <w:rFonts w:cs="Times New Roman"/>
      <w:color w:val="990000"/>
      <w:u w:val="none"/>
      <w:effect w:val="none"/>
      <w:shd w:val="clear" w:color="auto" w:fill="FFFFFF"/>
    </w:rPr>
  </w:style>
  <w:style w:type="table" w:styleId="Tablasutil1">
    <w:name w:val="Table Subtle 1"/>
    <w:basedOn w:val="Tablanormal"/>
    <w:uiPriority w:val="99"/>
    <w:rsid w:val="003C464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alfinal">
    <w:name w:val="endnote text"/>
    <w:basedOn w:val="Normal"/>
    <w:link w:val="TextonotaalfinalCar"/>
    <w:rsid w:val="000500FC"/>
    <w:rPr>
      <w:rFonts w:cs="Times New Roman"/>
      <w:sz w:val="20"/>
      <w:szCs w:val="20"/>
    </w:rPr>
  </w:style>
  <w:style w:type="character" w:customStyle="1" w:styleId="TextonotaalfinalCar">
    <w:name w:val="Texto nota al final Car"/>
    <w:link w:val="Textonotaalfinal"/>
    <w:locked/>
    <w:rsid w:val="008C1269"/>
    <w:rPr>
      <w:rFonts w:ascii="Arial" w:hAnsi="Arial" w:cs="Arial"/>
      <w:sz w:val="20"/>
      <w:szCs w:val="20"/>
      <w:lang w:val="es-ES" w:eastAsia="es-ES"/>
    </w:rPr>
  </w:style>
  <w:style w:type="character" w:styleId="Refdenotaalfinal">
    <w:name w:val="endnote reference"/>
    <w:rsid w:val="000500FC"/>
    <w:rPr>
      <w:rFonts w:cs="Times New Roman"/>
      <w:vertAlign w:val="superscript"/>
    </w:rPr>
  </w:style>
  <w:style w:type="paragraph" w:customStyle="1" w:styleId="Todoeldocumento">
    <w:name w:val="Todo el documento"/>
    <w:basedOn w:val="Normal"/>
    <w:autoRedefine/>
    <w:uiPriority w:val="99"/>
    <w:rsid w:val="00804F69"/>
    <w:pPr>
      <w:spacing w:line="360" w:lineRule="auto"/>
      <w:jc w:val="both"/>
    </w:pPr>
    <w:rPr>
      <w:rFonts w:eastAsia="MS Mincho"/>
      <w:bCs/>
      <w:sz w:val="16"/>
      <w:szCs w:val="16"/>
    </w:rPr>
  </w:style>
  <w:style w:type="table" w:styleId="Tablaconefectos3D2">
    <w:name w:val="Table 3D effects 2"/>
    <w:basedOn w:val="Tablanormal"/>
    <w:uiPriority w:val="99"/>
    <w:rsid w:val="00C501D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uiPriority w:val="99"/>
    <w:rsid w:val="00846AB9"/>
    <w:pPr>
      <w:spacing w:after="120" w:line="360" w:lineRule="auto"/>
      <w:jc w:val="both"/>
    </w:pPr>
    <w:rPr>
      <w:rFonts w:cs="Times New Roman"/>
    </w:rPr>
  </w:style>
  <w:style w:type="character" w:customStyle="1" w:styleId="Textoindependiente2Car">
    <w:name w:val="Texto independiente 2 Car"/>
    <w:link w:val="Textoindependiente2"/>
    <w:uiPriority w:val="99"/>
    <w:semiHidden/>
    <w:locked/>
    <w:rsid w:val="008C1269"/>
    <w:rPr>
      <w:rFonts w:ascii="Arial" w:hAnsi="Arial" w:cs="Arial"/>
      <w:sz w:val="24"/>
      <w:szCs w:val="24"/>
      <w:lang w:val="es-ES" w:eastAsia="es-ES"/>
    </w:rPr>
  </w:style>
  <w:style w:type="paragraph" w:styleId="Sangradetextonormal">
    <w:name w:val="Body Text Indent"/>
    <w:basedOn w:val="Normal"/>
    <w:link w:val="SangradetextonormalCar"/>
    <w:uiPriority w:val="99"/>
    <w:rsid w:val="00846AB9"/>
    <w:pPr>
      <w:spacing w:line="360" w:lineRule="auto"/>
      <w:ind w:firstLine="709"/>
      <w:jc w:val="both"/>
    </w:pPr>
    <w:rPr>
      <w:rFonts w:cs="Times New Roman"/>
    </w:rPr>
  </w:style>
  <w:style w:type="character" w:customStyle="1" w:styleId="SangradetextonormalCar">
    <w:name w:val="Sangría de texto normal Car"/>
    <w:link w:val="Sangradetextonormal"/>
    <w:uiPriority w:val="99"/>
    <w:semiHidden/>
    <w:locked/>
    <w:rsid w:val="008C1269"/>
    <w:rPr>
      <w:rFonts w:ascii="Arial" w:hAnsi="Arial" w:cs="Arial"/>
      <w:sz w:val="24"/>
      <w:szCs w:val="24"/>
      <w:lang w:val="es-ES" w:eastAsia="es-ES"/>
    </w:rPr>
  </w:style>
  <w:style w:type="table" w:styleId="Tablavistosa3">
    <w:name w:val="Table Colorful 3"/>
    <w:basedOn w:val="Tablanormal"/>
    <w:uiPriority w:val="99"/>
    <w:rsid w:val="00F47E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conlista1">
    <w:name w:val="Table List 1"/>
    <w:basedOn w:val="Tablanormal"/>
    <w:uiPriority w:val="99"/>
    <w:rsid w:val="00966FCF"/>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Textoennegrita">
    <w:name w:val="Strong"/>
    <w:uiPriority w:val="22"/>
    <w:qFormat/>
    <w:rsid w:val="00D553AC"/>
    <w:rPr>
      <w:rFonts w:cs="Times New Roman"/>
      <w:b/>
    </w:rPr>
  </w:style>
  <w:style w:type="paragraph" w:styleId="Prrafodelista">
    <w:name w:val="List Paragraph"/>
    <w:basedOn w:val="Normal"/>
    <w:uiPriority w:val="34"/>
    <w:qFormat/>
    <w:rsid w:val="008E1107"/>
    <w:pPr>
      <w:ind w:left="708"/>
    </w:pPr>
  </w:style>
  <w:style w:type="table" w:customStyle="1" w:styleId="Sombreadomedio2-nfasis11">
    <w:name w:val="Sombreado medio 2 - Énfasis 11"/>
    <w:uiPriority w:val="99"/>
    <w:rsid w:val="000210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1-nfasis6">
    <w:name w:val="Medium Shading 1 Accent 6"/>
    <w:basedOn w:val="Tablanormal"/>
    <w:uiPriority w:val="99"/>
    <w:rsid w:val="00D011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Sombreadomedio2-nfasis4">
    <w:name w:val="Medium Shading 2 Accent 4"/>
    <w:basedOn w:val="Tablanormal"/>
    <w:uiPriority w:val="99"/>
    <w:rsid w:val="00191535"/>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uiPriority w:val="99"/>
    <w:rsid w:val="009A70F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Listaoscura-nfasis2">
    <w:name w:val="Dark List Accent 2"/>
    <w:basedOn w:val="Tablanormal"/>
    <w:uiPriority w:val="99"/>
    <w:rsid w:val="009A70FE"/>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99"/>
    <w:rsid w:val="009A70FE"/>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99"/>
    <w:rsid w:val="009A70FE"/>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Cuadrculamedia3-nfasis6">
    <w:name w:val="Medium Grid 3 Accent 6"/>
    <w:basedOn w:val="Tablanormal"/>
    <w:uiPriority w:val="99"/>
    <w:rsid w:val="009A7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ombreadoclaro-nfasis2">
    <w:name w:val="Light Shading Accent 2"/>
    <w:basedOn w:val="Tablanormal"/>
    <w:uiPriority w:val="99"/>
    <w:rsid w:val="00797D5E"/>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staoscura-nfasis1">
    <w:name w:val="Dark List Accent 1"/>
    <w:basedOn w:val="Tablanormal"/>
    <w:uiPriority w:val="99"/>
    <w:rsid w:val="00B52203"/>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Listaclara-nfasis11">
    <w:name w:val="Lista clara - Énfasis 11"/>
    <w:uiPriority w:val="99"/>
    <w:rsid w:val="00B522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D96E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staclara-nfasis2">
    <w:name w:val="Light List Accent 2"/>
    <w:basedOn w:val="Tablanormal"/>
    <w:uiPriority w:val="99"/>
    <w:rsid w:val="00D96E4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media11">
    <w:name w:val="Lista media 11"/>
    <w:uiPriority w:val="99"/>
    <w:rsid w:val="001130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321A3"/>
    <w:rPr>
      <w:rFonts w:ascii="Tahoma" w:hAnsi="Tahoma" w:cs="Times New Roman"/>
      <w:sz w:val="16"/>
      <w:szCs w:val="20"/>
    </w:rPr>
  </w:style>
  <w:style w:type="character" w:customStyle="1" w:styleId="TextodegloboCar">
    <w:name w:val="Texto de globo Car"/>
    <w:link w:val="Textodeglobo"/>
    <w:uiPriority w:val="99"/>
    <w:semiHidden/>
    <w:locked/>
    <w:rsid w:val="002321A3"/>
    <w:rPr>
      <w:rFonts w:ascii="Tahoma" w:hAnsi="Tahoma" w:cs="Times New Roman"/>
      <w:sz w:val="16"/>
    </w:rPr>
  </w:style>
  <w:style w:type="table" w:customStyle="1" w:styleId="Sombreadomedio11">
    <w:name w:val="Sombreado medio 11"/>
    <w:uiPriority w:val="99"/>
    <w:rsid w:val="002E6D36"/>
    <w:pPr>
      <w:spacing w:beforeAutospacing="1" w:afterAutospacing="1"/>
    </w:pPr>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Sombreadoclaro-nfasis3">
    <w:name w:val="Light Shading Accent 3"/>
    <w:basedOn w:val="Tablanormal"/>
    <w:uiPriority w:val="99"/>
    <w:rsid w:val="002E6D36"/>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uadrculavistosa-nfasis4">
    <w:name w:val="Colorful Grid Accent 4"/>
    <w:basedOn w:val="Tablanormal"/>
    <w:uiPriority w:val="99"/>
    <w:rsid w:val="002E6D36"/>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uadrculavistosa-nfasis5">
    <w:name w:val="Colorful Grid Accent 5"/>
    <w:basedOn w:val="Tablanormal"/>
    <w:uiPriority w:val="99"/>
    <w:rsid w:val="002E6D36"/>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ombreadomedio1-nfasis4">
    <w:name w:val="Medium Shading 1 Accent 4"/>
    <w:basedOn w:val="Tablanormal"/>
    <w:uiPriority w:val="99"/>
    <w:rsid w:val="001C3D30"/>
    <w:pPr>
      <w:spacing w:beforeAutospacing="1" w:afterAutospacing="1"/>
    </w:pPr>
    <w:rPr>
      <w:rFonts w:ascii="Calibri" w:hAnsi="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1C3D3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vistosa-nfasis5">
    <w:name w:val="Colorful List Accent 5"/>
    <w:basedOn w:val="Tablanormal"/>
    <w:uiPriority w:val="99"/>
    <w:rsid w:val="001C3D30"/>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uadrculavistosa-nfasis3">
    <w:name w:val="Colorful Grid Accent 3"/>
    <w:basedOn w:val="Tablanormal"/>
    <w:uiPriority w:val="99"/>
    <w:rsid w:val="001C3D30"/>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Sombreadomedio2-nfasis6">
    <w:name w:val="Medium Shading 2 Accent 6"/>
    <w:basedOn w:val="Tablanormal"/>
    <w:uiPriority w:val="99"/>
    <w:rsid w:val="001D7D8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99"/>
    <w:rsid w:val="001D4893"/>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CarCar">
    <w:name w:val="Car Car"/>
    <w:uiPriority w:val="99"/>
    <w:semiHidden/>
    <w:locked/>
    <w:rsid w:val="00922E94"/>
    <w:rPr>
      <w:lang w:val="es-ES" w:eastAsia="es-ES"/>
    </w:rPr>
  </w:style>
  <w:style w:type="paragraph" w:styleId="Sangra2detindependiente">
    <w:name w:val="Body Text Indent 2"/>
    <w:basedOn w:val="Normal"/>
    <w:link w:val="Sangra2detindependienteCar"/>
    <w:uiPriority w:val="99"/>
    <w:semiHidden/>
    <w:rsid w:val="00222BD6"/>
    <w:pPr>
      <w:spacing w:after="120" w:line="480" w:lineRule="auto"/>
      <w:ind w:left="283"/>
    </w:pPr>
    <w:rPr>
      <w:rFonts w:cs="Times New Roman"/>
      <w:szCs w:val="20"/>
    </w:rPr>
  </w:style>
  <w:style w:type="character" w:customStyle="1" w:styleId="Sangra2detindependienteCar">
    <w:name w:val="Sangría 2 de t. independiente Car"/>
    <w:link w:val="Sangra2detindependiente"/>
    <w:uiPriority w:val="99"/>
    <w:semiHidden/>
    <w:locked/>
    <w:rsid w:val="00222BD6"/>
    <w:rPr>
      <w:rFonts w:ascii="Arial" w:hAnsi="Arial" w:cs="Times New Roman"/>
      <w:sz w:val="24"/>
    </w:rPr>
  </w:style>
  <w:style w:type="paragraph" w:customStyle="1" w:styleId="doclistelement-title">
    <w:name w:val="doclistelement-title"/>
    <w:basedOn w:val="Normal"/>
    <w:uiPriority w:val="99"/>
    <w:rsid w:val="00222BD6"/>
    <w:pPr>
      <w:spacing w:before="100" w:beforeAutospacing="1" w:after="100" w:afterAutospacing="1"/>
    </w:pPr>
    <w:rPr>
      <w:rFonts w:ascii="Arial Unicode MS" w:eastAsia="Arial Unicode MS" w:hAnsi="Arial Unicode MS" w:cs="Arial Unicode MS"/>
      <w:b/>
      <w:bCs/>
    </w:rPr>
  </w:style>
  <w:style w:type="character" w:customStyle="1" w:styleId="fbconnectbuttontext11">
    <w:name w:val="fbconnectbutton_text11"/>
    <w:uiPriority w:val="99"/>
    <w:rsid w:val="00AE3794"/>
    <w:rPr>
      <w:rFonts w:cs="Times New Roman"/>
    </w:rPr>
  </w:style>
  <w:style w:type="character" w:styleId="nfasis">
    <w:name w:val="Emphasis"/>
    <w:uiPriority w:val="99"/>
    <w:qFormat/>
    <w:rsid w:val="009D10BE"/>
    <w:rPr>
      <w:rFonts w:cs="Times New Roman"/>
      <w:i/>
    </w:rPr>
  </w:style>
  <w:style w:type="character" w:customStyle="1" w:styleId="textonoticia1">
    <w:name w:val="textonoticia1"/>
    <w:uiPriority w:val="99"/>
    <w:rsid w:val="00E516B4"/>
    <w:rPr>
      <w:rFonts w:ascii="Georgia" w:hAnsi="Georgia"/>
      <w:color w:val="333333"/>
      <w:sz w:val="12"/>
    </w:rPr>
  </w:style>
  <w:style w:type="table" w:styleId="Cuadrculamedia1-nfasis5">
    <w:name w:val="Medium Grid 1 Accent 5"/>
    <w:basedOn w:val="Tablanormal"/>
    <w:uiPriority w:val="99"/>
    <w:rsid w:val="00823D7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ombreadoclaro-nfasis11">
    <w:name w:val="Sombreado claro - Énfasis 11"/>
    <w:uiPriority w:val="99"/>
    <w:rsid w:val="004E091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2">
    <w:name w:val="Cuadrícula clara - Énfasis 12"/>
    <w:uiPriority w:val="99"/>
    <w:rsid w:val="004E09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uadrculamedia2-nfasis1">
    <w:name w:val="Medium Grid 2 Accent 1"/>
    <w:basedOn w:val="Tablanormal"/>
    <w:uiPriority w:val="99"/>
    <w:rsid w:val="004E091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Default">
    <w:name w:val="Default"/>
    <w:rsid w:val="00584972"/>
    <w:pPr>
      <w:autoSpaceDE w:val="0"/>
      <w:autoSpaceDN w:val="0"/>
      <w:adjustRightInd w:val="0"/>
    </w:pPr>
    <w:rPr>
      <w:rFonts w:ascii="Verdana" w:hAnsi="Verdana" w:cs="Verdana"/>
      <w:color w:val="000000"/>
      <w:sz w:val="24"/>
      <w:szCs w:val="24"/>
    </w:rPr>
  </w:style>
  <w:style w:type="paragraph" w:customStyle="1" w:styleId="Normal1">
    <w:name w:val="Normal1"/>
    <w:basedOn w:val="Normal"/>
    <w:uiPriority w:val="99"/>
    <w:rsid w:val="00CF09FE"/>
    <w:pPr>
      <w:spacing w:line="225" w:lineRule="atLeast"/>
    </w:pPr>
    <w:rPr>
      <w:rFonts w:ascii="Times New Roman" w:hAnsi="Times New Roman" w:cs="Times New Roman"/>
      <w:sz w:val="17"/>
      <w:szCs w:val="17"/>
    </w:rPr>
  </w:style>
  <w:style w:type="table" w:customStyle="1" w:styleId="Sombreadomedio2-nfasis12">
    <w:name w:val="Sombreado medio 2 - Énfasis 12"/>
    <w:uiPriority w:val="99"/>
    <w:rsid w:val="007B186D"/>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2-nfasis5">
    <w:name w:val="Medium Shading 2 Accent 5"/>
    <w:basedOn w:val="Tablanormal"/>
    <w:uiPriority w:val="99"/>
    <w:rsid w:val="000C4CA6"/>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D04B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1-nfasis11">
    <w:name w:val="Sombreado medio 1 - Énfasis 11"/>
    <w:uiPriority w:val="99"/>
    <w:rsid w:val="00C729F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rsid w:val="00215D85"/>
    <w:rPr>
      <w:rFonts w:cs="Times New Roman"/>
    </w:rPr>
  </w:style>
  <w:style w:type="paragraph" w:customStyle="1" w:styleId="Pa21">
    <w:name w:val="Pa21"/>
    <w:basedOn w:val="Default"/>
    <w:next w:val="Default"/>
    <w:uiPriority w:val="99"/>
    <w:rsid w:val="00215D85"/>
    <w:pPr>
      <w:spacing w:line="161" w:lineRule="atLeast"/>
    </w:pPr>
    <w:rPr>
      <w:rFonts w:ascii="Arial" w:hAnsi="Arial" w:cs="Arial"/>
      <w:color w:val="auto"/>
    </w:rPr>
  </w:style>
  <w:style w:type="paragraph" w:customStyle="1" w:styleId="Pa24">
    <w:name w:val="Pa24"/>
    <w:basedOn w:val="Default"/>
    <w:next w:val="Default"/>
    <w:uiPriority w:val="99"/>
    <w:rsid w:val="00215D85"/>
    <w:pPr>
      <w:spacing w:line="181" w:lineRule="atLeast"/>
    </w:pPr>
    <w:rPr>
      <w:rFonts w:ascii="Arial" w:hAnsi="Arial" w:cs="Arial"/>
      <w:color w:val="auto"/>
    </w:rPr>
  </w:style>
  <w:style w:type="table" w:customStyle="1" w:styleId="Estilo1">
    <w:name w:val="Estilo1"/>
    <w:basedOn w:val="Tablaconefectos3D3"/>
    <w:uiPriority w:val="99"/>
    <w:rsid w:val="00215D85"/>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215D8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staclara-nfasis12">
    <w:name w:val="Lista clara - Énfasis 12"/>
    <w:uiPriority w:val="99"/>
    <w:rsid w:val="00BF7BC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aclara1">
    <w:name w:val="Lista clara1"/>
    <w:uiPriority w:val="99"/>
    <w:rsid w:val="00BF7B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tulo0">
    <w:name w:val="Título 0"/>
    <w:basedOn w:val="Normal"/>
    <w:next w:val="Normal"/>
    <w:uiPriority w:val="99"/>
    <w:rsid w:val="00D94B97"/>
    <w:pPr>
      <w:suppressAutoHyphens/>
      <w:spacing w:before="240" w:after="240" w:line="288" w:lineRule="auto"/>
      <w:jc w:val="center"/>
    </w:pPr>
    <w:rPr>
      <w:rFonts w:ascii="Palatino Linotype" w:hAnsi="Palatino Linotype" w:cs="Times New Roman"/>
      <w:b/>
      <w:caps/>
      <w:sz w:val="26"/>
      <w:szCs w:val="20"/>
      <w:lang w:eastAsia="ar-SA"/>
    </w:rPr>
  </w:style>
  <w:style w:type="paragraph" w:customStyle="1" w:styleId="irdivsang">
    <w:name w:val="irdivsang"/>
    <w:basedOn w:val="Normal"/>
    <w:uiPriority w:val="99"/>
    <w:rsid w:val="00D94B97"/>
    <w:pPr>
      <w:spacing w:before="100" w:beforeAutospacing="1" w:after="100" w:afterAutospacing="1"/>
      <w:ind w:firstLine="200"/>
      <w:jc w:val="both"/>
    </w:pPr>
    <w:rPr>
      <w:rFonts w:ascii="Times New Roman" w:hAnsi="Times New Roman" w:cs="Times New Roman"/>
    </w:rPr>
  </w:style>
  <w:style w:type="paragraph" w:customStyle="1" w:styleId="Pa13">
    <w:name w:val="Pa13"/>
    <w:basedOn w:val="Normal"/>
    <w:next w:val="Normal"/>
    <w:uiPriority w:val="99"/>
    <w:rsid w:val="00D94B97"/>
    <w:pPr>
      <w:autoSpaceDE w:val="0"/>
      <w:autoSpaceDN w:val="0"/>
      <w:adjustRightInd w:val="0"/>
      <w:spacing w:line="201" w:lineRule="atLeast"/>
    </w:pPr>
  </w:style>
  <w:style w:type="paragraph" w:customStyle="1" w:styleId="Pa12">
    <w:name w:val="Pa12"/>
    <w:basedOn w:val="Default"/>
    <w:next w:val="Default"/>
    <w:uiPriority w:val="99"/>
    <w:rsid w:val="00852ACC"/>
    <w:pPr>
      <w:spacing w:line="201" w:lineRule="atLeast"/>
    </w:pPr>
    <w:rPr>
      <w:rFonts w:ascii="Arial" w:hAnsi="Arial" w:cs="Arial"/>
      <w:color w:val="auto"/>
    </w:rPr>
  </w:style>
  <w:style w:type="paragraph" w:customStyle="1" w:styleId="Pa8">
    <w:name w:val="Pa8"/>
    <w:basedOn w:val="Default"/>
    <w:next w:val="Default"/>
    <w:uiPriority w:val="99"/>
    <w:rsid w:val="00852ACC"/>
    <w:pPr>
      <w:spacing w:line="201" w:lineRule="atLeast"/>
    </w:pPr>
    <w:rPr>
      <w:rFonts w:ascii="Arial" w:hAnsi="Arial" w:cs="Arial"/>
      <w:color w:val="auto"/>
    </w:rPr>
  </w:style>
  <w:style w:type="paragraph" w:customStyle="1" w:styleId="first">
    <w:name w:val="first"/>
    <w:basedOn w:val="Normal"/>
    <w:uiPriority w:val="99"/>
    <w:rsid w:val="00BD11B1"/>
    <w:pPr>
      <w:spacing w:before="100" w:beforeAutospacing="1" w:after="100" w:afterAutospacing="1"/>
    </w:pPr>
    <w:rPr>
      <w:rFonts w:ascii="Times New Roman" w:hAnsi="Times New Roman" w:cs="Times New Roman"/>
    </w:rPr>
  </w:style>
  <w:style w:type="table" w:styleId="Sombreadomedio1-nfasis3">
    <w:name w:val="Medium Shading 1 Accent 3"/>
    <w:basedOn w:val="Tablanormal"/>
    <w:uiPriority w:val="99"/>
    <w:rsid w:val="002E04C0"/>
    <w:rPr>
      <w:rFonts w:ascii="Arial" w:hAnsi="Arial"/>
      <w:sz w:val="24"/>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uadrculamedia3-nfasis3">
    <w:name w:val="Medium Grid 3 Accent 3"/>
    <w:basedOn w:val="Tablanormal"/>
    <w:uiPriority w:val="99"/>
    <w:rsid w:val="002E0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nfasis13">
    <w:name w:val="Lista clara - Énfasis 13"/>
    <w:uiPriority w:val="99"/>
    <w:rsid w:val="00BA40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claro-nfasis6">
    <w:name w:val="Light Shading Accent 6"/>
    <w:basedOn w:val="Tablanormal"/>
    <w:uiPriority w:val="99"/>
    <w:rsid w:val="00BA4058"/>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Sombreadomedio1-nfasis12">
    <w:name w:val="Sombreado medio 1 - Énfasis 12"/>
    <w:uiPriority w:val="99"/>
    <w:rsid w:val="00BA405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2">
    <w:name w:val="Sombreado claro - Énfasis 12"/>
    <w:uiPriority w:val="99"/>
    <w:rsid w:val="00BA40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2">
    <w:name w:val="Lista clara2"/>
    <w:uiPriority w:val="99"/>
    <w:rsid w:val="0069363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Sombreadoclaro-nfasis5">
    <w:name w:val="Light Shading Accent 5"/>
    <w:basedOn w:val="Tablanormal"/>
    <w:uiPriority w:val="99"/>
    <w:rsid w:val="00DD4B3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Sombreadomedio1-nfasis13">
    <w:name w:val="Sombreado medio 1 - Énfasis 13"/>
    <w:uiPriority w:val="99"/>
    <w:rsid w:val="00DD4B3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3">
    <w:name w:val="Sombreado claro - Énfasis 13"/>
    <w:uiPriority w:val="99"/>
    <w:rsid w:val="001F6352"/>
    <w:pPr>
      <w:jc w:val="center"/>
    </w:pPr>
    <w:rPr>
      <w:rFonts w:ascii="Arial" w:hAnsi="Arial"/>
      <w:color w:val="365F91"/>
      <w:sz w:val="24"/>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media1-nfasis11">
    <w:name w:val="Lista media 1 - Énfasis 11"/>
    <w:uiPriority w:val="99"/>
    <w:rsid w:val="00702C0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1-nfasis14">
    <w:name w:val="Sombreado medio 1 - Énfasis 14"/>
    <w:basedOn w:val="Tablaweb2"/>
    <w:uiPriority w:val="99"/>
    <w:rsid w:val="00702C0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aclara-nfasis14">
    <w:name w:val="Lista clara - Énfasis 14"/>
    <w:uiPriority w:val="99"/>
    <w:rsid w:val="00702C0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medio1-nfasis5">
    <w:name w:val="Medium Shading 1 Accent 5"/>
    <w:basedOn w:val="Tablanormal"/>
    <w:uiPriority w:val="99"/>
    <w:rsid w:val="00702C0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Sombreadoclaro-nfasis14">
    <w:name w:val="Sombreado claro - Énfasis 14"/>
    <w:basedOn w:val="Tablanormal"/>
    <w:uiPriority w:val="99"/>
    <w:rsid w:val="00AB3E74"/>
    <w:pPr>
      <w:jc w:val="center"/>
    </w:pPr>
    <w:rPr>
      <w:rFonts w:ascii="Arial" w:hAnsi="Arial"/>
      <w:color w:val="365F91"/>
      <w:sz w:val="24"/>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ombreadomedio2-nfasis3">
    <w:name w:val="Medium Shading 2 Accent 3"/>
    <w:basedOn w:val="Tablanormal"/>
    <w:uiPriority w:val="99"/>
    <w:rsid w:val="00702223"/>
    <w:pPr>
      <w:jc w:val="center"/>
    </w:pPr>
    <w:rPr>
      <w:rFonts w:ascii="Arial" w:hAnsi="Arial"/>
      <w:sz w:val="24"/>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5">
    <w:name w:val="Lista clara - Énfasis 15"/>
    <w:basedOn w:val="Tablanormal"/>
    <w:uiPriority w:val="61"/>
    <w:rsid w:val="00CD19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575967"/>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5">
    <w:name w:val="Light List Accent 5"/>
    <w:basedOn w:val="Tablanormal"/>
    <w:uiPriority w:val="61"/>
    <w:rsid w:val="005E48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aclsica1">
    <w:name w:val="Table Classic 1"/>
    <w:basedOn w:val="Tablanormal"/>
    <w:rsid w:val="009809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13">
    <w:name w:val="Sombreado medio 2 - Énfasis 13"/>
    <w:basedOn w:val="Tablanormal"/>
    <w:uiPriority w:val="64"/>
    <w:rsid w:val="00980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15">
    <w:name w:val="Sombreado medio 1 - Énfasis 15"/>
    <w:basedOn w:val="Tablanormal"/>
    <w:uiPriority w:val="63"/>
    <w:rsid w:val="0098098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oscura-nfasis6">
    <w:name w:val="Dark List Accent 6"/>
    <w:basedOn w:val="Tablanormal"/>
    <w:uiPriority w:val="70"/>
    <w:rsid w:val="00B3694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media3-nfasis5">
    <w:name w:val="Medium Grid 3 Accent 5"/>
    <w:basedOn w:val="Tablanormal"/>
    <w:uiPriority w:val="69"/>
    <w:rsid w:val="00B3694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amedia1-nfasis3">
    <w:name w:val="Medium List 1 Accent 3"/>
    <w:basedOn w:val="Tablanormal"/>
    <w:uiPriority w:val="65"/>
    <w:rsid w:val="009328B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clara-nfasis3">
    <w:name w:val="Light List Accent 3"/>
    <w:basedOn w:val="Tablanormal"/>
    <w:uiPriority w:val="61"/>
    <w:rsid w:val="009328B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Referenciaintensa">
    <w:name w:val="Intense Reference"/>
    <w:uiPriority w:val="32"/>
    <w:qFormat/>
    <w:rsid w:val="00FA34D8"/>
    <w:rPr>
      <w:b/>
      <w:bCs/>
      <w:smallCaps/>
      <w:color w:val="C0504D"/>
      <w:spacing w:val="5"/>
      <w:u w:val="single"/>
    </w:rPr>
  </w:style>
  <w:style w:type="table" w:styleId="Sombreadovistoso-nfasis5">
    <w:name w:val="Colorful Shading Accent 5"/>
    <w:basedOn w:val="Tablanormal"/>
    <w:uiPriority w:val="71"/>
    <w:rsid w:val="003A4B5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2">
    <w:name w:val="Colorful Grid Accent 2"/>
    <w:basedOn w:val="Tablanormal"/>
    <w:uiPriority w:val="73"/>
    <w:rsid w:val="003A4B5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Refdecomentario">
    <w:name w:val="annotation reference"/>
    <w:semiHidden/>
    <w:rsid w:val="00436D04"/>
    <w:rPr>
      <w:sz w:val="16"/>
      <w:szCs w:val="16"/>
    </w:rPr>
  </w:style>
  <w:style w:type="paragraph" w:styleId="Textocomentario">
    <w:name w:val="annotation text"/>
    <w:basedOn w:val="Normal"/>
    <w:semiHidden/>
    <w:rsid w:val="00436D04"/>
    <w:rPr>
      <w:sz w:val="20"/>
      <w:szCs w:val="20"/>
    </w:rPr>
  </w:style>
  <w:style w:type="paragraph" w:styleId="Asuntodelcomentario">
    <w:name w:val="annotation subject"/>
    <w:basedOn w:val="Textocomentario"/>
    <w:next w:val="Textocomentario"/>
    <w:semiHidden/>
    <w:rsid w:val="00436D04"/>
    <w:rPr>
      <w:b/>
      <w:bCs/>
    </w:rPr>
  </w:style>
  <w:style w:type="paragraph" w:styleId="Revisin">
    <w:name w:val="Revision"/>
    <w:hidden/>
    <w:uiPriority w:val="99"/>
    <w:semiHidden/>
    <w:rsid w:val="00E93097"/>
    <w:rPr>
      <w:rFonts w:ascii="Arial" w:hAnsi="Arial" w:cs="Arial"/>
      <w:sz w:val="24"/>
      <w:szCs w:val="24"/>
    </w:rPr>
  </w:style>
  <w:style w:type="paragraph" w:customStyle="1" w:styleId="Pa0">
    <w:name w:val="Pa0"/>
    <w:basedOn w:val="Default"/>
    <w:next w:val="Default"/>
    <w:uiPriority w:val="99"/>
    <w:rsid w:val="00DA73C1"/>
    <w:pPr>
      <w:spacing w:line="241" w:lineRule="atLeast"/>
    </w:pPr>
    <w:rPr>
      <w:rFonts w:ascii="Cambria" w:hAnsi="Cambria" w:cs="Times New Roman"/>
      <w:color w:val="auto"/>
    </w:rPr>
  </w:style>
  <w:style w:type="character" w:customStyle="1" w:styleId="A0">
    <w:name w:val="A0"/>
    <w:uiPriority w:val="99"/>
    <w:rsid w:val="00DA73C1"/>
    <w:rPr>
      <w:rFonts w:cs="Cambria"/>
      <w:color w:val="0C6FB2"/>
      <w:sz w:val="60"/>
      <w:szCs w:val="60"/>
    </w:rPr>
  </w:style>
  <w:style w:type="character" w:customStyle="1" w:styleId="A2">
    <w:name w:val="A2"/>
    <w:uiPriority w:val="99"/>
    <w:rsid w:val="00DA73C1"/>
    <w:rPr>
      <w:rFonts w:cs="Cambria"/>
      <w:color w:val="72767A"/>
      <w:sz w:val="36"/>
      <w:szCs w:val="36"/>
    </w:rPr>
  </w:style>
  <w:style w:type="character" w:customStyle="1" w:styleId="A1">
    <w:name w:val="A1"/>
    <w:uiPriority w:val="99"/>
    <w:rsid w:val="00DA73C1"/>
    <w:rPr>
      <w:rFonts w:cs="Cambria"/>
      <w:color w:val="72767A"/>
      <w:sz w:val="28"/>
      <w:szCs w:val="28"/>
    </w:rPr>
  </w:style>
  <w:style w:type="paragraph" w:customStyle="1" w:styleId="Pa2">
    <w:name w:val="Pa2"/>
    <w:basedOn w:val="Default"/>
    <w:next w:val="Default"/>
    <w:uiPriority w:val="99"/>
    <w:rsid w:val="00C52F28"/>
    <w:pPr>
      <w:spacing w:line="201" w:lineRule="atLeast"/>
    </w:pPr>
    <w:rPr>
      <w:rFonts w:ascii="Cambria" w:hAnsi="Cambria" w:cs="Times New Roman"/>
      <w:color w:val="auto"/>
    </w:rPr>
  </w:style>
  <w:style w:type="character" w:customStyle="1" w:styleId="A5">
    <w:name w:val="A5"/>
    <w:uiPriority w:val="99"/>
    <w:rsid w:val="00C52F28"/>
    <w:rPr>
      <w:rFonts w:cs="Cambria"/>
      <w:b/>
      <w:bCs/>
      <w:color w:val="72767A"/>
      <w:sz w:val="20"/>
      <w:szCs w:val="20"/>
      <w:u w:val="single"/>
    </w:rPr>
  </w:style>
  <w:style w:type="character" w:customStyle="1" w:styleId="A6">
    <w:name w:val="A6"/>
    <w:uiPriority w:val="99"/>
    <w:rsid w:val="00C52F28"/>
    <w:rPr>
      <w:rFonts w:cs="Cambria"/>
      <w:b/>
      <w:bCs/>
      <w:color w:val="0C6FB2"/>
      <w:sz w:val="30"/>
      <w:szCs w:val="30"/>
    </w:rPr>
  </w:style>
  <w:style w:type="paragraph" w:styleId="HTMLconformatoprevio">
    <w:name w:val="HTML Preformatted"/>
    <w:basedOn w:val="Normal"/>
    <w:link w:val="HTMLconformatoprevioCar"/>
    <w:uiPriority w:val="99"/>
    <w:semiHidden/>
    <w:unhideWhenUsed/>
    <w:rsid w:val="00F4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conformatoprevioCar">
    <w:name w:val="HTML con formato previo Car"/>
    <w:link w:val="HTMLconformatoprevio"/>
    <w:uiPriority w:val="99"/>
    <w:semiHidden/>
    <w:rsid w:val="00F432AC"/>
    <w:rPr>
      <w:rFonts w:ascii="Courier New" w:hAnsi="Courier New" w:cs="Courier New"/>
    </w:rPr>
  </w:style>
  <w:style w:type="table" w:styleId="Listaclara-nfasis6">
    <w:name w:val="Light List Accent 6"/>
    <w:basedOn w:val="Tablanormal"/>
    <w:uiPriority w:val="61"/>
    <w:rsid w:val="005A0B6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Estilo2">
    <w:name w:val="Estilo2"/>
    <w:basedOn w:val="Tablaweb1"/>
    <w:uiPriority w:val="99"/>
    <w:qFormat/>
    <w:rsid w:val="008D2265"/>
    <w:tblPr/>
    <w:tblStylePr w:type="firstRow">
      <w:rPr>
        <w:rFonts w:cs="Times New Roman"/>
        <w:color w:val="auto"/>
      </w:rPr>
      <w:tblPr/>
      <w:tcPr>
        <w:tcBorders>
          <w:tl2br w:val="none" w:sz="0" w:space="0" w:color="auto"/>
          <w:tr2bl w:val="none" w:sz="0" w:space="0" w:color="auto"/>
        </w:tcBorders>
      </w:tcPr>
    </w:tblStylePr>
  </w:style>
  <w:style w:type="table" w:customStyle="1" w:styleId="Sombreadomedio2-nfasis14">
    <w:name w:val="Sombreado medio 2 - Énfasis 14"/>
    <w:basedOn w:val="Tablanormal"/>
    <w:uiPriority w:val="64"/>
    <w:rsid w:val="00623A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6">
    <w:name w:val="Colorful Shading Accent 6"/>
    <w:basedOn w:val="Tablanormal"/>
    <w:uiPriority w:val="71"/>
    <w:rsid w:val="008E08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media1-nfasis1">
    <w:name w:val="Medium Grid 1 Accent 1"/>
    <w:basedOn w:val="Tablanormal"/>
    <w:uiPriority w:val="67"/>
    <w:rsid w:val="008E08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uerpoA">
    <w:name w:val="Cuerpo A"/>
    <w:rsid w:val="00C4097A"/>
    <w:pPr>
      <w:pBdr>
        <w:top w:val="nil"/>
        <w:left w:val="nil"/>
        <w:bottom w:val="nil"/>
        <w:right w:val="nil"/>
        <w:between w:val="nil"/>
        <w:bar w:val="nil"/>
      </w:pBdr>
    </w:pPr>
    <w:rPr>
      <w:rFonts w:ascii="Arial" w:eastAsia="Arial Unicode MS" w:hAnsi="Arial" w:cs="Arial Unicode MS"/>
      <w:color w:val="000000"/>
      <w:sz w:val="24"/>
      <w:szCs w:val="24"/>
      <w:u w:color="000000"/>
      <w:bdr w:val="nil"/>
      <w:lang w:val="es-ES_tradnl"/>
    </w:rPr>
  </w:style>
  <w:style w:type="character" w:customStyle="1" w:styleId="Ninguno">
    <w:name w:val="Ninguno"/>
    <w:rsid w:val="00C4097A"/>
    <w:rPr>
      <w:lang w:val="es-ES_tradnl"/>
    </w:rPr>
  </w:style>
  <w:style w:type="paragraph" w:customStyle="1" w:styleId="Poromisin">
    <w:name w:val="Por omisión"/>
    <w:rsid w:val="00C4097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ingunoA">
    <w:name w:val="Ninguno A"/>
    <w:rsid w:val="00C4097A"/>
  </w:style>
  <w:style w:type="table" w:styleId="Cuadrculaclara-nfasis1">
    <w:name w:val="Light Grid Accent 1"/>
    <w:basedOn w:val="Tablanormal"/>
    <w:uiPriority w:val="62"/>
    <w:rsid w:val="007374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4">
    <w:name w:val="Medium Grid 1 Accent 4"/>
    <w:basedOn w:val="Tablanormal"/>
    <w:uiPriority w:val="67"/>
    <w:rsid w:val="00A42A4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uerpo">
    <w:name w:val="Cuerpo"/>
    <w:rsid w:val="003D21CD"/>
    <w:pPr>
      <w:pBdr>
        <w:top w:val="nil"/>
        <w:left w:val="nil"/>
        <w:bottom w:val="nil"/>
        <w:right w:val="nil"/>
        <w:between w:val="nil"/>
        <w:bar w:val="nil"/>
      </w:pBdr>
    </w:pPr>
    <w:rPr>
      <w:rFonts w:ascii="Arial" w:eastAsia="Arial" w:hAnsi="Arial" w:cs="Arial"/>
      <w:color w:val="000000"/>
      <w:sz w:val="24"/>
      <w:szCs w:val="24"/>
      <w:u w:color="000000"/>
      <w:bdr w:val="nil"/>
    </w:rPr>
  </w:style>
  <w:style w:type="table" w:styleId="Sombreadomedio1-nfasis1">
    <w:name w:val="Medium Shading 1 Accent 1"/>
    <w:basedOn w:val="Tablanormal"/>
    <w:uiPriority w:val="63"/>
    <w:rsid w:val="00517411"/>
    <w:rPr>
      <w:rFonts w:ascii="Arial" w:eastAsiaTheme="minorHAnsi" w:hAnsi="Arial" w:cstheme="minorBidi"/>
      <w:sz w:val="24"/>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lassic 1" w:uiPriority="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7"/>
    <w:rPr>
      <w:rFonts w:ascii="Arial" w:hAnsi="Arial" w:cs="Arial"/>
      <w:sz w:val="24"/>
      <w:szCs w:val="24"/>
    </w:rPr>
  </w:style>
  <w:style w:type="paragraph" w:styleId="Ttulo1">
    <w:name w:val="heading 1"/>
    <w:basedOn w:val="Normal"/>
    <w:next w:val="Normal"/>
    <w:link w:val="Ttulo1Car"/>
    <w:uiPriority w:val="99"/>
    <w:qFormat/>
    <w:rsid w:val="00846AB9"/>
    <w:pPr>
      <w:keepNext/>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846AB9"/>
    <w:pPr>
      <w:keepNext/>
      <w:outlineLvl w:val="1"/>
    </w:pPr>
    <w:rPr>
      <w:rFonts w:ascii="Cambria" w:hAnsi="Cambria" w:cs="Times New Roman"/>
      <w:b/>
      <w:bCs/>
      <w:i/>
      <w:iCs/>
      <w:sz w:val="28"/>
      <w:szCs w:val="28"/>
    </w:rPr>
  </w:style>
  <w:style w:type="paragraph" w:styleId="Ttulo5">
    <w:name w:val="heading 5"/>
    <w:basedOn w:val="Normal"/>
    <w:next w:val="Normal"/>
    <w:link w:val="Ttulo5Car"/>
    <w:uiPriority w:val="99"/>
    <w:qFormat/>
    <w:rsid w:val="00222BD6"/>
    <w:pPr>
      <w:spacing w:before="240" w:after="60"/>
      <w:outlineLvl w:val="4"/>
    </w:pPr>
    <w:rPr>
      <w:rFonts w:ascii="Calibri" w:hAnsi="Calibri" w:cs="Times New Roman"/>
      <w:b/>
      <w:i/>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C1269"/>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sid w:val="008C1269"/>
    <w:rPr>
      <w:rFonts w:ascii="Cambria" w:hAnsi="Cambria" w:cs="Times New Roman"/>
      <w:b/>
      <w:bCs/>
      <w:i/>
      <w:iCs/>
      <w:sz w:val="28"/>
      <w:szCs w:val="28"/>
      <w:lang w:val="es-ES" w:eastAsia="es-ES"/>
    </w:rPr>
  </w:style>
  <w:style w:type="character" w:customStyle="1" w:styleId="Ttulo5Car">
    <w:name w:val="Título 5 Car"/>
    <w:link w:val="Ttulo5"/>
    <w:uiPriority w:val="99"/>
    <w:semiHidden/>
    <w:locked/>
    <w:rsid w:val="00222BD6"/>
    <w:rPr>
      <w:rFonts w:ascii="Calibri" w:hAnsi="Calibri" w:cs="Times New Roman"/>
      <w:b/>
      <w:i/>
      <w:sz w:val="26"/>
    </w:rPr>
  </w:style>
  <w:style w:type="paragraph" w:styleId="Encabezado">
    <w:name w:val="header"/>
    <w:basedOn w:val="Normal"/>
    <w:link w:val="EncabezadoCar"/>
    <w:rsid w:val="00145CF4"/>
    <w:pPr>
      <w:tabs>
        <w:tab w:val="center" w:pos="4419"/>
        <w:tab w:val="right" w:pos="8838"/>
      </w:tabs>
    </w:pPr>
    <w:rPr>
      <w:rFonts w:cs="Times New Roman"/>
    </w:rPr>
  </w:style>
  <w:style w:type="character" w:customStyle="1" w:styleId="EncabezadoCar">
    <w:name w:val="Encabezado Car"/>
    <w:link w:val="Encabezado"/>
    <w:locked/>
    <w:rsid w:val="008C1269"/>
    <w:rPr>
      <w:rFonts w:ascii="Arial" w:hAnsi="Arial" w:cs="Arial"/>
      <w:sz w:val="24"/>
      <w:szCs w:val="24"/>
      <w:lang w:val="es-ES" w:eastAsia="es-ES"/>
    </w:rPr>
  </w:style>
  <w:style w:type="paragraph" w:styleId="Piedepgina">
    <w:name w:val="footer"/>
    <w:basedOn w:val="Normal"/>
    <w:link w:val="PiedepginaCar"/>
    <w:uiPriority w:val="99"/>
    <w:rsid w:val="00145CF4"/>
    <w:pPr>
      <w:tabs>
        <w:tab w:val="center" w:pos="4419"/>
        <w:tab w:val="right" w:pos="8838"/>
      </w:tabs>
    </w:pPr>
    <w:rPr>
      <w:rFonts w:cs="Times New Roman"/>
    </w:rPr>
  </w:style>
  <w:style w:type="character" w:customStyle="1" w:styleId="PiedepginaCar">
    <w:name w:val="Pie de página Car"/>
    <w:link w:val="Piedepgina"/>
    <w:uiPriority w:val="99"/>
    <w:semiHidden/>
    <w:locked/>
    <w:rsid w:val="008C1269"/>
    <w:rPr>
      <w:rFonts w:ascii="Arial" w:hAnsi="Arial" w:cs="Arial"/>
      <w:sz w:val="24"/>
      <w:szCs w:val="24"/>
      <w:lang w:val="es-ES" w:eastAsia="es-ES"/>
    </w:rPr>
  </w:style>
  <w:style w:type="table" w:styleId="Tablaconcuadrcula">
    <w:name w:val="Table Grid"/>
    <w:basedOn w:val="Tablaconefectos3D3"/>
    <w:rsid w:val="00145CF4"/>
    <w:tblPr>
      <w:tblStyleRowBandSize w:val="0"/>
      <w:tblStyleColBandSize w:val="0"/>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pie">
    <w:name w:val="footnote text"/>
    <w:basedOn w:val="Normal"/>
    <w:link w:val="TextonotapieCar"/>
    <w:uiPriority w:val="99"/>
    <w:rsid w:val="00145CF4"/>
    <w:rPr>
      <w:rFonts w:ascii="Times New Roman" w:hAnsi="Times New Roman" w:cs="Times New Roman"/>
      <w:sz w:val="20"/>
      <w:szCs w:val="20"/>
    </w:rPr>
  </w:style>
  <w:style w:type="character" w:customStyle="1" w:styleId="TextonotapieCar">
    <w:name w:val="Texto nota pie Car"/>
    <w:link w:val="Textonotapie"/>
    <w:uiPriority w:val="99"/>
    <w:locked/>
    <w:rsid w:val="001C3D30"/>
    <w:rPr>
      <w:rFonts w:cs="Times New Roman"/>
    </w:rPr>
  </w:style>
  <w:style w:type="character" w:styleId="Refdenotaalpie">
    <w:name w:val="footnote reference"/>
    <w:rsid w:val="00145CF4"/>
    <w:rPr>
      <w:rFonts w:cs="Times New Roman"/>
      <w:vertAlign w:val="superscript"/>
    </w:rPr>
  </w:style>
  <w:style w:type="paragraph" w:styleId="Textoindependiente">
    <w:name w:val="Body Text"/>
    <w:basedOn w:val="Normal"/>
    <w:link w:val="TextoindependienteCar"/>
    <w:uiPriority w:val="99"/>
    <w:rsid w:val="00145CF4"/>
    <w:pPr>
      <w:spacing w:after="120"/>
    </w:pPr>
    <w:rPr>
      <w:rFonts w:cs="Times New Roman"/>
    </w:rPr>
  </w:style>
  <w:style w:type="character" w:customStyle="1" w:styleId="TextoindependienteCar">
    <w:name w:val="Texto independiente Car"/>
    <w:link w:val="Textoindependiente"/>
    <w:uiPriority w:val="99"/>
    <w:semiHidden/>
    <w:locked/>
    <w:rsid w:val="008C1269"/>
    <w:rPr>
      <w:rFonts w:ascii="Arial" w:hAnsi="Arial" w:cs="Arial"/>
      <w:sz w:val="24"/>
      <w:szCs w:val="24"/>
      <w:lang w:val="es-ES" w:eastAsia="es-ES"/>
    </w:rPr>
  </w:style>
  <w:style w:type="paragraph" w:styleId="NormalWeb">
    <w:name w:val="Normal (Web)"/>
    <w:basedOn w:val="Normal"/>
    <w:uiPriority w:val="99"/>
    <w:rsid w:val="0076133D"/>
    <w:pPr>
      <w:spacing w:before="100" w:beforeAutospacing="1" w:after="100" w:afterAutospacing="1"/>
    </w:pPr>
    <w:rPr>
      <w:rFonts w:ascii="Times New Roman" w:hAnsi="Times New Roman" w:cs="Times New Roman"/>
    </w:rPr>
  </w:style>
  <w:style w:type="table" w:styleId="Tablaweb2">
    <w:name w:val="Table Web 2"/>
    <w:basedOn w:val="Tablanormal"/>
    <w:uiPriority w:val="99"/>
    <w:rsid w:val="00FF3D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vistosa1">
    <w:name w:val="Table Colorful 1"/>
    <w:basedOn w:val="Tablanormal"/>
    <w:uiPriority w:val="99"/>
    <w:rsid w:val="003028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web1">
    <w:name w:val="Table Web 1"/>
    <w:basedOn w:val="Tablanormal"/>
    <w:uiPriority w:val="99"/>
    <w:rsid w:val="008708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8708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ipervnculo">
    <w:name w:val="Hyperlink"/>
    <w:uiPriority w:val="99"/>
    <w:rsid w:val="002745A0"/>
    <w:rPr>
      <w:rFonts w:cs="Times New Roman"/>
      <w:color w:val="990000"/>
      <w:u w:val="none"/>
      <w:effect w:val="none"/>
      <w:shd w:val="clear" w:color="auto" w:fill="FFFFFF"/>
    </w:rPr>
  </w:style>
  <w:style w:type="table" w:styleId="Tablasutil1">
    <w:name w:val="Table Subtle 1"/>
    <w:basedOn w:val="Tablanormal"/>
    <w:uiPriority w:val="99"/>
    <w:rsid w:val="003C464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alfinal">
    <w:name w:val="endnote text"/>
    <w:basedOn w:val="Normal"/>
    <w:link w:val="TextonotaalfinalCar"/>
    <w:rsid w:val="000500FC"/>
    <w:rPr>
      <w:rFonts w:cs="Times New Roman"/>
      <w:sz w:val="20"/>
      <w:szCs w:val="20"/>
    </w:rPr>
  </w:style>
  <w:style w:type="character" w:customStyle="1" w:styleId="TextonotaalfinalCar">
    <w:name w:val="Texto nota al final Car"/>
    <w:link w:val="Textonotaalfinal"/>
    <w:locked/>
    <w:rsid w:val="008C1269"/>
    <w:rPr>
      <w:rFonts w:ascii="Arial" w:hAnsi="Arial" w:cs="Arial"/>
      <w:sz w:val="20"/>
      <w:szCs w:val="20"/>
      <w:lang w:val="es-ES" w:eastAsia="es-ES"/>
    </w:rPr>
  </w:style>
  <w:style w:type="character" w:styleId="Refdenotaalfinal">
    <w:name w:val="endnote reference"/>
    <w:rsid w:val="000500FC"/>
    <w:rPr>
      <w:rFonts w:cs="Times New Roman"/>
      <w:vertAlign w:val="superscript"/>
    </w:rPr>
  </w:style>
  <w:style w:type="paragraph" w:customStyle="1" w:styleId="Todoeldocumento">
    <w:name w:val="Todo el documento"/>
    <w:basedOn w:val="Normal"/>
    <w:autoRedefine/>
    <w:uiPriority w:val="99"/>
    <w:rsid w:val="00804F69"/>
    <w:pPr>
      <w:spacing w:line="360" w:lineRule="auto"/>
      <w:jc w:val="both"/>
    </w:pPr>
    <w:rPr>
      <w:rFonts w:eastAsia="MS Mincho"/>
      <w:bCs/>
      <w:sz w:val="16"/>
      <w:szCs w:val="16"/>
    </w:rPr>
  </w:style>
  <w:style w:type="table" w:styleId="Tablaconefectos3D2">
    <w:name w:val="Table 3D effects 2"/>
    <w:basedOn w:val="Tablanormal"/>
    <w:uiPriority w:val="99"/>
    <w:rsid w:val="00C501D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uiPriority w:val="99"/>
    <w:rsid w:val="00846AB9"/>
    <w:pPr>
      <w:spacing w:after="120" w:line="360" w:lineRule="auto"/>
      <w:jc w:val="both"/>
    </w:pPr>
    <w:rPr>
      <w:rFonts w:cs="Times New Roman"/>
    </w:rPr>
  </w:style>
  <w:style w:type="character" w:customStyle="1" w:styleId="Textoindependiente2Car">
    <w:name w:val="Texto independiente 2 Car"/>
    <w:link w:val="Textoindependiente2"/>
    <w:uiPriority w:val="99"/>
    <w:semiHidden/>
    <w:locked/>
    <w:rsid w:val="008C1269"/>
    <w:rPr>
      <w:rFonts w:ascii="Arial" w:hAnsi="Arial" w:cs="Arial"/>
      <w:sz w:val="24"/>
      <w:szCs w:val="24"/>
      <w:lang w:val="es-ES" w:eastAsia="es-ES"/>
    </w:rPr>
  </w:style>
  <w:style w:type="paragraph" w:styleId="Sangradetextonormal">
    <w:name w:val="Body Text Indent"/>
    <w:basedOn w:val="Normal"/>
    <w:link w:val="SangradetextonormalCar"/>
    <w:uiPriority w:val="99"/>
    <w:rsid w:val="00846AB9"/>
    <w:pPr>
      <w:spacing w:line="360" w:lineRule="auto"/>
      <w:ind w:firstLine="709"/>
      <w:jc w:val="both"/>
    </w:pPr>
    <w:rPr>
      <w:rFonts w:cs="Times New Roman"/>
    </w:rPr>
  </w:style>
  <w:style w:type="character" w:customStyle="1" w:styleId="SangradetextonormalCar">
    <w:name w:val="Sangría de texto normal Car"/>
    <w:link w:val="Sangradetextonormal"/>
    <w:uiPriority w:val="99"/>
    <w:semiHidden/>
    <w:locked/>
    <w:rsid w:val="008C1269"/>
    <w:rPr>
      <w:rFonts w:ascii="Arial" w:hAnsi="Arial" w:cs="Arial"/>
      <w:sz w:val="24"/>
      <w:szCs w:val="24"/>
      <w:lang w:val="es-ES" w:eastAsia="es-ES"/>
    </w:rPr>
  </w:style>
  <w:style w:type="table" w:styleId="Tablavistosa3">
    <w:name w:val="Table Colorful 3"/>
    <w:basedOn w:val="Tablanormal"/>
    <w:uiPriority w:val="99"/>
    <w:rsid w:val="00F47E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conlista1">
    <w:name w:val="Table List 1"/>
    <w:basedOn w:val="Tablanormal"/>
    <w:uiPriority w:val="99"/>
    <w:rsid w:val="00966FCF"/>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Textoennegrita">
    <w:name w:val="Strong"/>
    <w:uiPriority w:val="22"/>
    <w:qFormat/>
    <w:rsid w:val="00D553AC"/>
    <w:rPr>
      <w:rFonts w:cs="Times New Roman"/>
      <w:b/>
    </w:rPr>
  </w:style>
  <w:style w:type="paragraph" w:styleId="Prrafodelista">
    <w:name w:val="List Paragraph"/>
    <w:basedOn w:val="Normal"/>
    <w:uiPriority w:val="34"/>
    <w:qFormat/>
    <w:rsid w:val="008E1107"/>
    <w:pPr>
      <w:ind w:left="708"/>
    </w:pPr>
  </w:style>
  <w:style w:type="table" w:customStyle="1" w:styleId="Sombreadomedio2-nfasis11">
    <w:name w:val="Sombreado medio 2 - Énfasis 11"/>
    <w:uiPriority w:val="99"/>
    <w:rsid w:val="000210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1-nfasis6">
    <w:name w:val="Medium Shading 1 Accent 6"/>
    <w:basedOn w:val="Tablanormal"/>
    <w:uiPriority w:val="99"/>
    <w:rsid w:val="00D011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Sombreadomedio2-nfasis4">
    <w:name w:val="Medium Shading 2 Accent 4"/>
    <w:basedOn w:val="Tablanormal"/>
    <w:uiPriority w:val="99"/>
    <w:rsid w:val="00191535"/>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uiPriority w:val="99"/>
    <w:rsid w:val="009A70F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Listaoscura-nfasis2">
    <w:name w:val="Dark List Accent 2"/>
    <w:basedOn w:val="Tablanormal"/>
    <w:uiPriority w:val="99"/>
    <w:rsid w:val="009A70FE"/>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99"/>
    <w:rsid w:val="009A70FE"/>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99"/>
    <w:rsid w:val="009A70FE"/>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Cuadrculamedia3-nfasis6">
    <w:name w:val="Medium Grid 3 Accent 6"/>
    <w:basedOn w:val="Tablanormal"/>
    <w:uiPriority w:val="99"/>
    <w:rsid w:val="009A7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ombreadoclaro-nfasis2">
    <w:name w:val="Light Shading Accent 2"/>
    <w:basedOn w:val="Tablanormal"/>
    <w:uiPriority w:val="99"/>
    <w:rsid w:val="00797D5E"/>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staoscura-nfasis1">
    <w:name w:val="Dark List Accent 1"/>
    <w:basedOn w:val="Tablanormal"/>
    <w:uiPriority w:val="99"/>
    <w:rsid w:val="00B52203"/>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Listaclara-nfasis11">
    <w:name w:val="Lista clara - Énfasis 11"/>
    <w:uiPriority w:val="99"/>
    <w:rsid w:val="00B522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D96E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staclara-nfasis2">
    <w:name w:val="Light List Accent 2"/>
    <w:basedOn w:val="Tablanormal"/>
    <w:uiPriority w:val="99"/>
    <w:rsid w:val="00D96E4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media11">
    <w:name w:val="Lista media 11"/>
    <w:uiPriority w:val="99"/>
    <w:rsid w:val="001130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321A3"/>
    <w:rPr>
      <w:rFonts w:ascii="Tahoma" w:hAnsi="Tahoma" w:cs="Times New Roman"/>
      <w:sz w:val="16"/>
      <w:szCs w:val="20"/>
    </w:rPr>
  </w:style>
  <w:style w:type="character" w:customStyle="1" w:styleId="TextodegloboCar">
    <w:name w:val="Texto de globo Car"/>
    <w:link w:val="Textodeglobo"/>
    <w:uiPriority w:val="99"/>
    <w:semiHidden/>
    <w:locked/>
    <w:rsid w:val="002321A3"/>
    <w:rPr>
      <w:rFonts w:ascii="Tahoma" w:hAnsi="Tahoma" w:cs="Times New Roman"/>
      <w:sz w:val="16"/>
    </w:rPr>
  </w:style>
  <w:style w:type="table" w:customStyle="1" w:styleId="Sombreadomedio11">
    <w:name w:val="Sombreado medio 11"/>
    <w:uiPriority w:val="99"/>
    <w:rsid w:val="002E6D36"/>
    <w:pPr>
      <w:spacing w:beforeAutospacing="1" w:afterAutospacing="1"/>
    </w:pPr>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Sombreadoclaro-nfasis3">
    <w:name w:val="Light Shading Accent 3"/>
    <w:basedOn w:val="Tablanormal"/>
    <w:uiPriority w:val="99"/>
    <w:rsid w:val="002E6D36"/>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uadrculavistosa-nfasis4">
    <w:name w:val="Colorful Grid Accent 4"/>
    <w:basedOn w:val="Tablanormal"/>
    <w:uiPriority w:val="99"/>
    <w:rsid w:val="002E6D36"/>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uadrculavistosa-nfasis5">
    <w:name w:val="Colorful Grid Accent 5"/>
    <w:basedOn w:val="Tablanormal"/>
    <w:uiPriority w:val="99"/>
    <w:rsid w:val="002E6D36"/>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ombreadomedio1-nfasis4">
    <w:name w:val="Medium Shading 1 Accent 4"/>
    <w:basedOn w:val="Tablanormal"/>
    <w:uiPriority w:val="99"/>
    <w:rsid w:val="001C3D30"/>
    <w:pPr>
      <w:spacing w:beforeAutospacing="1" w:afterAutospacing="1"/>
    </w:pPr>
    <w:rPr>
      <w:rFonts w:ascii="Calibri" w:hAnsi="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1C3D3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vistosa-nfasis5">
    <w:name w:val="Colorful List Accent 5"/>
    <w:basedOn w:val="Tablanormal"/>
    <w:uiPriority w:val="99"/>
    <w:rsid w:val="001C3D30"/>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uadrculavistosa-nfasis3">
    <w:name w:val="Colorful Grid Accent 3"/>
    <w:basedOn w:val="Tablanormal"/>
    <w:uiPriority w:val="99"/>
    <w:rsid w:val="001C3D30"/>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Sombreadomedio2-nfasis6">
    <w:name w:val="Medium Shading 2 Accent 6"/>
    <w:basedOn w:val="Tablanormal"/>
    <w:uiPriority w:val="99"/>
    <w:rsid w:val="001D7D8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99"/>
    <w:rsid w:val="001D4893"/>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CarCar">
    <w:name w:val="Car Car"/>
    <w:uiPriority w:val="99"/>
    <w:semiHidden/>
    <w:locked/>
    <w:rsid w:val="00922E94"/>
    <w:rPr>
      <w:lang w:val="es-ES" w:eastAsia="es-ES"/>
    </w:rPr>
  </w:style>
  <w:style w:type="paragraph" w:styleId="Sangra2detindependiente">
    <w:name w:val="Body Text Indent 2"/>
    <w:basedOn w:val="Normal"/>
    <w:link w:val="Sangra2detindependienteCar"/>
    <w:uiPriority w:val="99"/>
    <w:semiHidden/>
    <w:rsid w:val="00222BD6"/>
    <w:pPr>
      <w:spacing w:after="120" w:line="480" w:lineRule="auto"/>
      <w:ind w:left="283"/>
    </w:pPr>
    <w:rPr>
      <w:rFonts w:cs="Times New Roman"/>
      <w:szCs w:val="20"/>
    </w:rPr>
  </w:style>
  <w:style w:type="character" w:customStyle="1" w:styleId="Sangra2detindependienteCar">
    <w:name w:val="Sangría 2 de t. independiente Car"/>
    <w:link w:val="Sangra2detindependiente"/>
    <w:uiPriority w:val="99"/>
    <w:semiHidden/>
    <w:locked/>
    <w:rsid w:val="00222BD6"/>
    <w:rPr>
      <w:rFonts w:ascii="Arial" w:hAnsi="Arial" w:cs="Times New Roman"/>
      <w:sz w:val="24"/>
    </w:rPr>
  </w:style>
  <w:style w:type="paragraph" w:customStyle="1" w:styleId="doclistelement-title">
    <w:name w:val="doclistelement-title"/>
    <w:basedOn w:val="Normal"/>
    <w:uiPriority w:val="99"/>
    <w:rsid w:val="00222BD6"/>
    <w:pPr>
      <w:spacing w:before="100" w:beforeAutospacing="1" w:after="100" w:afterAutospacing="1"/>
    </w:pPr>
    <w:rPr>
      <w:rFonts w:ascii="Arial Unicode MS" w:eastAsia="Arial Unicode MS" w:hAnsi="Arial Unicode MS" w:cs="Arial Unicode MS"/>
      <w:b/>
      <w:bCs/>
    </w:rPr>
  </w:style>
  <w:style w:type="character" w:customStyle="1" w:styleId="fbconnectbuttontext11">
    <w:name w:val="fbconnectbutton_text11"/>
    <w:uiPriority w:val="99"/>
    <w:rsid w:val="00AE3794"/>
    <w:rPr>
      <w:rFonts w:cs="Times New Roman"/>
    </w:rPr>
  </w:style>
  <w:style w:type="character" w:styleId="nfasis">
    <w:name w:val="Emphasis"/>
    <w:uiPriority w:val="99"/>
    <w:qFormat/>
    <w:rsid w:val="009D10BE"/>
    <w:rPr>
      <w:rFonts w:cs="Times New Roman"/>
      <w:i/>
    </w:rPr>
  </w:style>
  <w:style w:type="character" w:customStyle="1" w:styleId="textonoticia1">
    <w:name w:val="textonoticia1"/>
    <w:uiPriority w:val="99"/>
    <w:rsid w:val="00E516B4"/>
    <w:rPr>
      <w:rFonts w:ascii="Georgia" w:hAnsi="Georgia"/>
      <w:color w:val="333333"/>
      <w:sz w:val="12"/>
    </w:rPr>
  </w:style>
  <w:style w:type="table" w:styleId="Cuadrculamedia1-nfasis5">
    <w:name w:val="Medium Grid 1 Accent 5"/>
    <w:basedOn w:val="Tablanormal"/>
    <w:uiPriority w:val="99"/>
    <w:rsid w:val="00823D7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ombreadoclaro-nfasis11">
    <w:name w:val="Sombreado claro - Énfasis 11"/>
    <w:uiPriority w:val="99"/>
    <w:rsid w:val="004E091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2">
    <w:name w:val="Cuadrícula clara - Énfasis 12"/>
    <w:uiPriority w:val="99"/>
    <w:rsid w:val="004E09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uadrculamedia2-nfasis1">
    <w:name w:val="Medium Grid 2 Accent 1"/>
    <w:basedOn w:val="Tablanormal"/>
    <w:uiPriority w:val="99"/>
    <w:rsid w:val="004E091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Default">
    <w:name w:val="Default"/>
    <w:rsid w:val="00584972"/>
    <w:pPr>
      <w:autoSpaceDE w:val="0"/>
      <w:autoSpaceDN w:val="0"/>
      <w:adjustRightInd w:val="0"/>
    </w:pPr>
    <w:rPr>
      <w:rFonts w:ascii="Verdana" w:hAnsi="Verdana" w:cs="Verdana"/>
      <w:color w:val="000000"/>
      <w:sz w:val="24"/>
      <w:szCs w:val="24"/>
    </w:rPr>
  </w:style>
  <w:style w:type="paragraph" w:customStyle="1" w:styleId="Normal1">
    <w:name w:val="Normal1"/>
    <w:basedOn w:val="Normal"/>
    <w:uiPriority w:val="99"/>
    <w:rsid w:val="00CF09FE"/>
    <w:pPr>
      <w:spacing w:line="225" w:lineRule="atLeast"/>
    </w:pPr>
    <w:rPr>
      <w:rFonts w:ascii="Times New Roman" w:hAnsi="Times New Roman" w:cs="Times New Roman"/>
      <w:sz w:val="17"/>
      <w:szCs w:val="17"/>
    </w:rPr>
  </w:style>
  <w:style w:type="table" w:customStyle="1" w:styleId="Sombreadomedio2-nfasis12">
    <w:name w:val="Sombreado medio 2 - Énfasis 12"/>
    <w:uiPriority w:val="99"/>
    <w:rsid w:val="007B186D"/>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2-nfasis5">
    <w:name w:val="Medium Shading 2 Accent 5"/>
    <w:basedOn w:val="Tablanormal"/>
    <w:uiPriority w:val="99"/>
    <w:rsid w:val="000C4CA6"/>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D04B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1-nfasis11">
    <w:name w:val="Sombreado medio 1 - Énfasis 11"/>
    <w:uiPriority w:val="99"/>
    <w:rsid w:val="00C729F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rsid w:val="00215D85"/>
    <w:rPr>
      <w:rFonts w:cs="Times New Roman"/>
    </w:rPr>
  </w:style>
  <w:style w:type="paragraph" w:customStyle="1" w:styleId="Pa21">
    <w:name w:val="Pa21"/>
    <w:basedOn w:val="Default"/>
    <w:next w:val="Default"/>
    <w:uiPriority w:val="99"/>
    <w:rsid w:val="00215D85"/>
    <w:pPr>
      <w:spacing w:line="161" w:lineRule="atLeast"/>
    </w:pPr>
    <w:rPr>
      <w:rFonts w:ascii="Arial" w:hAnsi="Arial" w:cs="Arial"/>
      <w:color w:val="auto"/>
    </w:rPr>
  </w:style>
  <w:style w:type="paragraph" w:customStyle="1" w:styleId="Pa24">
    <w:name w:val="Pa24"/>
    <w:basedOn w:val="Default"/>
    <w:next w:val="Default"/>
    <w:uiPriority w:val="99"/>
    <w:rsid w:val="00215D85"/>
    <w:pPr>
      <w:spacing w:line="181" w:lineRule="atLeast"/>
    </w:pPr>
    <w:rPr>
      <w:rFonts w:ascii="Arial" w:hAnsi="Arial" w:cs="Arial"/>
      <w:color w:val="auto"/>
    </w:rPr>
  </w:style>
  <w:style w:type="table" w:customStyle="1" w:styleId="Estilo1">
    <w:name w:val="Estilo1"/>
    <w:basedOn w:val="Tablaconefectos3D3"/>
    <w:uiPriority w:val="99"/>
    <w:rsid w:val="00215D85"/>
    <w:tblPr>
      <w:tblStyleRowBandSize w:val="0"/>
      <w:tblStyleColBandSize w:val="0"/>
      <w:tblInd w:w="0" w:type="nil"/>
      <w:tblCellMar>
        <w:left w:w="0" w:type="dxa"/>
        <w:right w:w="0"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215D8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staclara-nfasis12">
    <w:name w:val="Lista clara - Énfasis 12"/>
    <w:uiPriority w:val="99"/>
    <w:rsid w:val="00BF7BC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aclara1">
    <w:name w:val="Lista clara1"/>
    <w:uiPriority w:val="99"/>
    <w:rsid w:val="00BF7B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tulo0">
    <w:name w:val="Título 0"/>
    <w:basedOn w:val="Normal"/>
    <w:next w:val="Normal"/>
    <w:uiPriority w:val="99"/>
    <w:rsid w:val="00D94B97"/>
    <w:pPr>
      <w:suppressAutoHyphens/>
      <w:spacing w:before="240" w:after="240" w:line="288" w:lineRule="auto"/>
      <w:jc w:val="center"/>
    </w:pPr>
    <w:rPr>
      <w:rFonts w:ascii="Palatino Linotype" w:hAnsi="Palatino Linotype" w:cs="Times New Roman"/>
      <w:b/>
      <w:caps/>
      <w:sz w:val="26"/>
      <w:szCs w:val="20"/>
      <w:lang w:eastAsia="ar-SA"/>
    </w:rPr>
  </w:style>
  <w:style w:type="paragraph" w:customStyle="1" w:styleId="irdivsang">
    <w:name w:val="irdivsang"/>
    <w:basedOn w:val="Normal"/>
    <w:uiPriority w:val="99"/>
    <w:rsid w:val="00D94B97"/>
    <w:pPr>
      <w:spacing w:before="100" w:beforeAutospacing="1" w:after="100" w:afterAutospacing="1"/>
      <w:ind w:firstLine="200"/>
      <w:jc w:val="both"/>
    </w:pPr>
    <w:rPr>
      <w:rFonts w:ascii="Times New Roman" w:hAnsi="Times New Roman" w:cs="Times New Roman"/>
    </w:rPr>
  </w:style>
  <w:style w:type="paragraph" w:customStyle="1" w:styleId="Pa13">
    <w:name w:val="Pa13"/>
    <w:basedOn w:val="Normal"/>
    <w:next w:val="Normal"/>
    <w:uiPriority w:val="99"/>
    <w:rsid w:val="00D94B97"/>
    <w:pPr>
      <w:autoSpaceDE w:val="0"/>
      <w:autoSpaceDN w:val="0"/>
      <w:adjustRightInd w:val="0"/>
      <w:spacing w:line="201" w:lineRule="atLeast"/>
    </w:pPr>
  </w:style>
  <w:style w:type="paragraph" w:customStyle="1" w:styleId="Pa12">
    <w:name w:val="Pa12"/>
    <w:basedOn w:val="Default"/>
    <w:next w:val="Default"/>
    <w:uiPriority w:val="99"/>
    <w:rsid w:val="00852ACC"/>
    <w:pPr>
      <w:spacing w:line="201" w:lineRule="atLeast"/>
    </w:pPr>
    <w:rPr>
      <w:rFonts w:ascii="Arial" w:hAnsi="Arial" w:cs="Arial"/>
      <w:color w:val="auto"/>
    </w:rPr>
  </w:style>
  <w:style w:type="paragraph" w:customStyle="1" w:styleId="Pa8">
    <w:name w:val="Pa8"/>
    <w:basedOn w:val="Default"/>
    <w:next w:val="Default"/>
    <w:uiPriority w:val="99"/>
    <w:rsid w:val="00852ACC"/>
    <w:pPr>
      <w:spacing w:line="201" w:lineRule="atLeast"/>
    </w:pPr>
    <w:rPr>
      <w:rFonts w:ascii="Arial" w:hAnsi="Arial" w:cs="Arial"/>
      <w:color w:val="auto"/>
    </w:rPr>
  </w:style>
  <w:style w:type="paragraph" w:customStyle="1" w:styleId="first">
    <w:name w:val="first"/>
    <w:basedOn w:val="Normal"/>
    <w:uiPriority w:val="99"/>
    <w:rsid w:val="00BD11B1"/>
    <w:pPr>
      <w:spacing w:before="100" w:beforeAutospacing="1" w:after="100" w:afterAutospacing="1"/>
    </w:pPr>
    <w:rPr>
      <w:rFonts w:ascii="Times New Roman" w:hAnsi="Times New Roman" w:cs="Times New Roman"/>
    </w:rPr>
  </w:style>
  <w:style w:type="table" w:styleId="Sombreadomedio1-nfasis3">
    <w:name w:val="Medium Shading 1 Accent 3"/>
    <w:basedOn w:val="Tablanormal"/>
    <w:uiPriority w:val="99"/>
    <w:rsid w:val="002E04C0"/>
    <w:rPr>
      <w:rFonts w:ascii="Arial" w:hAnsi="Arial"/>
      <w:sz w:val="24"/>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uadrculamedia3-nfasis3">
    <w:name w:val="Medium Grid 3 Accent 3"/>
    <w:basedOn w:val="Tablanormal"/>
    <w:uiPriority w:val="99"/>
    <w:rsid w:val="002E0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nfasis13">
    <w:name w:val="Lista clara - Énfasis 13"/>
    <w:uiPriority w:val="99"/>
    <w:rsid w:val="00BA40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claro-nfasis6">
    <w:name w:val="Light Shading Accent 6"/>
    <w:basedOn w:val="Tablanormal"/>
    <w:uiPriority w:val="99"/>
    <w:rsid w:val="00BA4058"/>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Sombreadomedio1-nfasis12">
    <w:name w:val="Sombreado medio 1 - Énfasis 12"/>
    <w:uiPriority w:val="99"/>
    <w:rsid w:val="00BA405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2">
    <w:name w:val="Sombreado claro - Énfasis 12"/>
    <w:uiPriority w:val="99"/>
    <w:rsid w:val="00BA40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2">
    <w:name w:val="Lista clara2"/>
    <w:uiPriority w:val="99"/>
    <w:rsid w:val="0069363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Sombreadoclaro-nfasis5">
    <w:name w:val="Light Shading Accent 5"/>
    <w:basedOn w:val="Tablanormal"/>
    <w:uiPriority w:val="99"/>
    <w:rsid w:val="00DD4B3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Sombreadomedio1-nfasis13">
    <w:name w:val="Sombreado medio 1 - Énfasis 13"/>
    <w:uiPriority w:val="99"/>
    <w:rsid w:val="00DD4B3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3">
    <w:name w:val="Sombreado claro - Énfasis 13"/>
    <w:uiPriority w:val="99"/>
    <w:rsid w:val="001F6352"/>
    <w:pPr>
      <w:jc w:val="center"/>
    </w:pPr>
    <w:rPr>
      <w:rFonts w:ascii="Arial" w:hAnsi="Arial"/>
      <w:color w:val="365F91"/>
      <w:sz w:val="24"/>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media1-nfasis11">
    <w:name w:val="Lista media 1 - Énfasis 11"/>
    <w:uiPriority w:val="99"/>
    <w:rsid w:val="00702C0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1-nfasis14">
    <w:name w:val="Sombreado medio 1 - Énfasis 14"/>
    <w:basedOn w:val="Tablaweb2"/>
    <w:uiPriority w:val="99"/>
    <w:rsid w:val="00702C0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aclara-nfasis14">
    <w:name w:val="Lista clara - Énfasis 14"/>
    <w:uiPriority w:val="99"/>
    <w:rsid w:val="00702C0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medio1-nfasis5">
    <w:name w:val="Medium Shading 1 Accent 5"/>
    <w:basedOn w:val="Tablanormal"/>
    <w:uiPriority w:val="99"/>
    <w:rsid w:val="00702C0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Sombreadoclaro-nfasis14">
    <w:name w:val="Sombreado claro - Énfasis 14"/>
    <w:basedOn w:val="Tablanormal"/>
    <w:uiPriority w:val="99"/>
    <w:rsid w:val="00AB3E74"/>
    <w:pPr>
      <w:jc w:val="center"/>
    </w:pPr>
    <w:rPr>
      <w:rFonts w:ascii="Arial" w:hAnsi="Arial"/>
      <w:color w:val="365F91"/>
      <w:sz w:val="24"/>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ombreadomedio2-nfasis3">
    <w:name w:val="Medium Shading 2 Accent 3"/>
    <w:basedOn w:val="Tablanormal"/>
    <w:uiPriority w:val="99"/>
    <w:rsid w:val="00702223"/>
    <w:pPr>
      <w:jc w:val="center"/>
    </w:pPr>
    <w:rPr>
      <w:rFonts w:ascii="Arial" w:hAnsi="Arial"/>
      <w:sz w:val="24"/>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5">
    <w:name w:val="Lista clara - Énfasis 15"/>
    <w:basedOn w:val="Tablanormal"/>
    <w:uiPriority w:val="61"/>
    <w:rsid w:val="00CD19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575967"/>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5">
    <w:name w:val="Light List Accent 5"/>
    <w:basedOn w:val="Tablanormal"/>
    <w:uiPriority w:val="61"/>
    <w:rsid w:val="005E48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aclsica1">
    <w:name w:val="Table Classic 1"/>
    <w:basedOn w:val="Tablanormal"/>
    <w:rsid w:val="009809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13">
    <w:name w:val="Sombreado medio 2 - Énfasis 13"/>
    <w:basedOn w:val="Tablanormal"/>
    <w:uiPriority w:val="64"/>
    <w:rsid w:val="00980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15">
    <w:name w:val="Sombreado medio 1 - Énfasis 15"/>
    <w:basedOn w:val="Tablanormal"/>
    <w:uiPriority w:val="63"/>
    <w:rsid w:val="0098098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oscura-nfasis6">
    <w:name w:val="Dark List Accent 6"/>
    <w:basedOn w:val="Tablanormal"/>
    <w:uiPriority w:val="70"/>
    <w:rsid w:val="00B3694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media3-nfasis5">
    <w:name w:val="Medium Grid 3 Accent 5"/>
    <w:basedOn w:val="Tablanormal"/>
    <w:uiPriority w:val="69"/>
    <w:rsid w:val="00B3694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amedia1-nfasis3">
    <w:name w:val="Medium List 1 Accent 3"/>
    <w:basedOn w:val="Tablanormal"/>
    <w:uiPriority w:val="65"/>
    <w:rsid w:val="009328B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clara-nfasis3">
    <w:name w:val="Light List Accent 3"/>
    <w:basedOn w:val="Tablanormal"/>
    <w:uiPriority w:val="61"/>
    <w:rsid w:val="009328B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Referenciaintensa">
    <w:name w:val="Intense Reference"/>
    <w:uiPriority w:val="32"/>
    <w:qFormat/>
    <w:rsid w:val="00FA34D8"/>
    <w:rPr>
      <w:b/>
      <w:bCs/>
      <w:smallCaps/>
      <w:color w:val="C0504D"/>
      <w:spacing w:val="5"/>
      <w:u w:val="single"/>
    </w:rPr>
  </w:style>
  <w:style w:type="table" w:styleId="Sombreadovistoso-nfasis5">
    <w:name w:val="Colorful Shading Accent 5"/>
    <w:basedOn w:val="Tablanormal"/>
    <w:uiPriority w:val="71"/>
    <w:rsid w:val="003A4B5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2">
    <w:name w:val="Colorful Grid Accent 2"/>
    <w:basedOn w:val="Tablanormal"/>
    <w:uiPriority w:val="73"/>
    <w:rsid w:val="003A4B5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Refdecomentario">
    <w:name w:val="annotation reference"/>
    <w:semiHidden/>
    <w:rsid w:val="00436D04"/>
    <w:rPr>
      <w:sz w:val="16"/>
      <w:szCs w:val="16"/>
    </w:rPr>
  </w:style>
  <w:style w:type="paragraph" w:styleId="Textocomentario">
    <w:name w:val="annotation text"/>
    <w:basedOn w:val="Normal"/>
    <w:semiHidden/>
    <w:rsid w:val="00436D04"/>
    <w:rPr>
      <w:sz w:val="20"/>
      <w:szCs w:val="20"/>
    </w:rPr>
  </w:style>
  <w:style w:type="paragraph" w:styleId="Asuntodelcomentario">
    <w:name w:val="annotation subject"/>
    <w:basedOn w:val="Textocomentario"/>
    <w:next w:val="Textocomentario"/>
    <w:semiHidden/>
    <w:rsid w:val="00436D04"/>
    <w:rPr>
      <w:b/>
      <w:bCs/>
    </w:rPr>
  </w:style>
  <w:style w:type="paragraph" w:styleId="Revisin">
    <w:name w:val="Revision"/>
    <w:hidden/>
    <w:uiPriority w:val="99"/>
    <w:semiHidden/>
    <w:rsid w:val="00E93097"/>
    <w:rPr>
      <w:rFonts w:ascii="Arial" w:hAnsi="Arial" w:cs="Arial"/>
      <w:sz w:val="24"/>
      <w:szCs w:val="24"/>
    </w:rPr>
  </w:style>
  <w:style w:type="paragraph" w:customStyle="1" w:styleId="Pa0">
    <w:name w:val="Pa0"/>
    <w:basedOn w:val="Default"/>
    <w:next w:val="Default"/>
    <w:uiPriority w:val="99"/>
    <w:rsid w:val="00DA73C1"/>
    <w:pPr>
      <w:spacing w:line="241" w:lineRule="atLeast"/>
    </w:pPr>
    <w:rPr>
      <w:rFonts w:ascii="Cambria" w:hAnsi="Cambria" w:cs="Times New Roman"/>
      <w:color w:val="auto"/>
    </w:rPr>
  </w:style>
  <w:style w:type="character" w:customStyle="1" w:styleId="A0">
    <w:name w:val="A0"/>
    <w:uiPriority w:val="99"/>
    <w:rsid w:val="00DA73C1"/>
    <w:rPr>
      <w:rFonts w:cs="Cambria"/>
      <w:color w:val="0C6FB2"/>
      <w:sz w:val="60"/>
      <w:szCs w:val="60"/>
    </w:rPr>
  </w:style>
  <w:style w:type="character" w:customStyle="1" w:styleId="A2">
    <w:name w:val="A2"/>
    <w:uiPriority w:val="99"/>
    <w:rsid w:val="00DA73C1"/>
    <w:rPr>
      <w:rFonts w:cs="Cambria"/>
      <w:color w:val="72767A"/>
      <w:sz w:val="36"/>
      <w:szCs w:val="36"/>
    </w:rPr>
  </w:style>
  <w:style w:type="character" w:customStyle="1" w:styleId="A1">
    <w:name w:val="A1"/>
    <w:uiPriority w:val="99"/>
    <w:rsid w:val="00DA73C1"/>
    <w:rPr>
      <w:rFonts w:cs="Cambria"/>
      <w:color w:val="72767A"/>
      <w:sz w:val="28"/>
      <w:szCs w:val="28"/>
    </w:rPr>
  </w:style>
  <w:style w:type="paragraph" w:customStyle="1" w:styleId="Pa2">
    <w:name w:val="Pa2"/>
    <w:basedOn w:val="Default"/>
    <w:next w:val="Default"/>
    <w:uiPriority w:val="99"/>
    <w:rsid w:val="00C52F28"/>
    <w:pPr>
      <w:spacing w:line="201" w:lineRule="atLeast"/>
    </w:pPr>
    <w:rPr>
      <w:rFonts w:ascii="Cambria" w:hAnsi="Cambria" w:cs="Times New Roman"/>
      <w:color w:val="auto"/>
    </w:rPr>
  </w:style>
  <w:style w:type="character" w:customStyle="1" w:styleId="A5">
    <w:name w:val="A5"/>
    <w:uiPriority w:val="99"/>
    <w:rsid w:val="00C52F28"/>
    <w:rPr>
      <w:rFonts w:cs="Cambria"/>
      <w:b/>
      <w:bCs/>
      <w:color w:val="72767A"/>
      <w:sz w:val="20"/>
      <w:szCs w:val="20"/>
      <w:u w:val="single"/>
    </w:rPr>
  </w:style>
  <w:style w:type="character" w:customStyle="1" w:styleId="A6">
    <w:name w:val="A6"/>
    <w:uiPriority w:val="99"/>
    <w:rsid w:val="00C52F28"/>
    <w:rPr>
      <w:rFonts w:cs="Cambria"/>
      <w:b/>
      <w:bCs/>
      <w:color w:val="0C6FB2"/>
      <w:sz w:val="30"/>
      <w:szCs w:val="30"/>
    </w:rPr>
  </w:style>
  <w:style w:type="paragraph" w:styleId="HTMLconformatoprevio">
    <w:name w:val="HTML Preformatted"/>
    <w:basedOn w:val="Normal"/>
    <w:link w:val="HTMLconformatoprevioCar"/>
    <w:uiPriority w:val="99"/>
    <w:semiHidden/>
    <w:unhideWhenUsed/>
    <w:rsid w:val="00F4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conformatoprevioCar">
    <w:name w:val="HTML con formato previo Car"/>
    <w:link w:val="HTMLconformatoprevio"/>
    <w:uiPriority w:val="99"/>
    <w:semiHidden/>
    <w:rsid w:val="00F432AC"/>
    <w:rPr>
      <w:rFonts w:ascii="Courier New" w:hAnsi="Courier New" w:cs="Courier New"/>
    </w:rPr>
  </w:style>
  <w:style w:type="table" w:styleId="Listaclara-nfasis6">
    <w:name w:val="Light List Accent 6"/>
    <w:basedOn w:val="Tablanormal"/>
    <w:uiPriority w:val="61"/>
    <w:rsid w:val="005A0B6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Estilo2">
    <w:name w:val="Estilo2"/>
    <w:basedOn w:val="Tablaweb1"/>
    <w:uiPriority w:val="99"/>
    <w:qFormat/>
    <w:rsid w:val="008D2265"/>
    <w:tblPr/>
    <w:tblStylePr w:type="firstRow">
      <w:rPr>
        <w:rFonts w:cs="Times New Roman"/>
        <w:color w:val="auto"/>
      </w:rPr>
      <w:tblPr/>
      <w:tcPr>
        <w:tcBorders>
          <w:tl2br w:val="none" w:sz="0" w:space="0" w:color="auto"/>
          <w:tr2bl w:val="none" w:sz="0" w:space="0" w:color="auto"/>
        </w:tcBorders>
      </w:tcPr>
    </w:tblStylePr>
  </w:style>
  <w:style w:type="table" w:customStyle="1" w:styleId="Sombreadomedio2-nfasis14">
    <w:name w:val="Sombreado medio 2 - Énfasis 14"/>
    <w:basedOn w:val="Tablanormal"/>
    <w:uiPriority w:val="64"/>
    <w:rsid w:val="00623A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6">
    <w:name w:val="Colorful Shading Accent 6"/>
    <w:basedOn w:val="Tablanormal"/>
    <w:uiPriority w:val="71"/>
    <w:rsid w:val="008E08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media1-nfasis1">
    <w:name w:val="Medium Grid 1 Accent 1"/>
    <w:basedOn w:val="Tablanormal"/>
    <w:uiPriority w:val="67"/>
    <w:rsid w:val="008E08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uerpoA">
    <w:name w:val="Cuerpo A"/>
    <w:rsid w:val="00C4097A"/>
    <w:pPr>
      <w:pBdr>
        <w:top w:val="nil"/>
        <w:left w:val="nil"/>
        <w:bottom w:val="nil"/>
        <w:right w:val="nil"/>
        <w:between w:val="nil"/>
        <w:bar w:val="nil"/>
      </w:pBdr>
    </w:pPr>
    <w:rPr>
      <w:rFonts w:ascii="Arial" w:eastAsia="Arial Unicode MS" w:hAnsi="Arial" w:cs="Arial Unicode MS"/>
      <w:color w:val="000000"/>
      <w:sz w:val="24"/>
      <w:szCs w:val="24"/>
      <w:u w:color="000000"/>
      <w:bdr w:val="nil"/>
      <w:lang w:val="es-ES_tradnl"/>
    </w:rPr>
  </w:style>
  <w:style w:type="character" w:customStyle="1" w:styleId="Ninguno">
    <w:name w:val="Ninguno"/>
    <w:rsid w:val="00C4097A"/>
    <w:rPr>
      <w:lang w:val="es-ES_tradnl"/>
    </w:rPr>
  </w:style>
  <w:style w:type="paragraph" w:customStyle="1" w:styleId="Poromisin">
    <w:name w:val="Por omisión"/>
    <w:rsid w:val="00C4097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ingunoA">
    <w:name w:val="Ninguno A"/>
    <w:rsid w:val="00C4097A"/>
  </w:style>
  <w:style w:type="table" w:styleId="Cuadrculaclara-nfasis1">
    <w:name w:val="Light Grid Accent 1"/>
    <w:basedOn w:val="Tablanormal"/>
    <w:uiPriority w:val="62"/>
    <w:rsid w:val="007374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4">
    <w:name w:val="Medium Grid 1 Accent 4"/>
    <w:basedOn w:val="Tablanormal"/>
    <w:uiPriority w:val="67"/>
    <w:rsid w:val="00A42A4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uerpo">
    <w:name w:val="Cuerpo"/>
    <w:rsid w:val="003D21CD"/>
    <w:pPr>
      <w:pBdr>
        <w:top w:val="nil"/>
        <w:left w:val="nil"/>
        <w:bottom w:val="nil"/>
        <w:right w:val="nil"/>
        <w:between w:val="nil"/>
        <w:bar w:val="nil"/>
      </w:pBdr>
    </w:pPr>
    <w:rPr>
      <w:rFonts w:ascii="Arial" w:eastAsia="Arial" w:hAnsi="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08">
      <w:bodyDiv w:val="1"/>
      <w:marLeft w:val="0"/>
      <w:marRight w:val="0"/>
      <w:marTop w:val="0"/>
      <w:marBottom w:val="0"/>
      <w:divBdr>
        <w:top w:val="none" w:sz="0" w:space="0" w:color="auto"/>
        <w:left w:val="none" w:sz="0" w:space="0" w:color="auto"/>
        <w:bottom w:val="none" w:sz="0" w:space="0" w:color="auto"/>
        <w:right w:val="none" w:sz="0" w:space="0" w:color="auto"/>
      </w:divBdr>
    </w:div>
    <w:div w:id="81339570">
      <w:bodyDiv w:val="1"/>
      <w:marLeft w:val="0"/>
      <w:marRight w:val="0"/>
      <w:marTop w:val="0"/>
      <w:marBottom w:val="0"/>
      <w:divBdr>
        <w:top w:val="none" w:sz="0" w:space="0" w:color="auto"/>
        <w:left w:val="none" w:sz="0" w:space="0" w:color="auto"/>
        <w:bottom w:val="none" w:sz="0" w:space="0" w:color="auto"/>
        <w:right w:val="none" w:sz="0" w:space="0" w:color="auto"/>
      </w:divBdr>
    </w:div>
    <w:div w:id="119156109">
      <w:bodyDiv w:val="1"/>
      <w:marLeft w:val="0"/>
      <w:marRight w:val="0"/>
      <w:marTop w:val="0"/>
      <w:marBottom w:val="0"/>
      <w:divBdr>
        <w:top w:val="none" w:sz="0" w:space="0" w:color="auto"/>
        <w:left w:val="none" w:sz="0" w:space="0" w:color="auto"/>
        <w:bottom w:val="none" w:sz="0" w:space="0" w:color="auto"/>
        <w:right w:val="none" w:sz="0" w:space="0" w:color="auto"/>
      </w:divBdr>
    </w:div>
    <w:div w:id="142237003">
      <w:bodyDiv w:val="1"/>
      <w:marLeft w:val="0"/>
      <w:marRight w:val="0"/>
      <w:marTop w:val="0"/>
      <w:marBottom w:val="0"/>
      <w:divBdr>
        <w:top w:val="none" w:sz="0" w:space="0" w:color="auto"/>
        <w:left w:val="none" w:sz="0" w:space="0" w:color="auto"/>
        <w:bottom w:val="none" w:sz="0" w:space="0" w:color="auto"/>
        <w:right w:val="none" w:sz="0" w:space="0" w:color="auto"/>
      </w:divBdr>
    </w:div>
    <w:div w:id="156845746">
      <w:bodyDiv w:val="1"/>
      <w:marLeft w:val="0"/>
      <w:marRight w:val="0"/>
      <w:marTop w:val="0"/>
      <w:marBottom w:val="0"/>
      <w:divBdr>
        <w:top w:val="none" w:sz="0" w:space="0" w:color="auto"/>
        <w:left w:val="none" w:sz="0" w:space="0" w:color="auto"/>
        <w:bottom w:val="none" w:sz="0" w:space="0" w:color="auto"/>
        <w:right w:val="none" w:sz="0" w:space="0" w:color="auto"/>
      </w:divBdr>
    </w:div>
    <w:div w:id="169611921">
      <w:bodyDiv w:val="1"/>
      <w:marLeft w:val="0"/>
      <w:marRight w:val="0"/>
      <w:marTop w:val="0"/>
      <w:marBottom w:val="0"/>
      <w:divBdr>
        <w:top w:val="none" w:sz="0" w:space="0" w:color="auto"/>
        <w:left w:val="none" w:sz="0" w:space="0" w:color="auto"/>
        <w:bottom w:val="none" w:sz="0" w:space="0" w:color="auto"/>
        <w:right w:val="none" w:sz="0" w:space="0" w:color="auto"/>
      </w:divBdr>
      <w:divsChild>
        <w:div w:id="383648840">
          <w:marLeft w:val="677"/>
          <w:marRight w:val="0"/>
          <w:marTop w:val="77"/>
          <w:marBottom w:val="0"/>
          <w:divBdr>
            <w:top w:val="none" w:sz="0" w:space="0" w:color="auto"/>
            <w:left w:val="none" w:sz="0" w:space="0" w:color="auto"/>
            <w:bottom w:val="none" w:sz="0" w:space="0" w:color="auto"/>
            <w:right w:val="none" w:sz="0" w:space="0" w:color="auto"/>
          </w:divBdr>
        </w:div>
        <w:div w:id="708456515">
          <w:marLeft w:val="677"/>
          <w:marRight w:val="0"/>
          <w:marTop w:val="77"/>
          <w:marBottom w:val="0"/>
          <w:divBdr>
            <w:top w:val="none" w:sz="0" w:space="0" w:color="auto"/>
            <w:left w:val="none" w:sz="0" w:space="0" w:color="auto"/>
            <w:bottom w:val="none" w:sz="0" w:space="0" w:color="auto"/>
            <w:right w:val="none" w:sz="0" w:space="0" w:color="auto"/>
          </w:divBdr>
        </w:div>
        <w:div w:id="1147477514">
          <w:marLeft w:val="677"/>
          <w:marRight w:val="0"/>
          <w:marTop w:val="77"/>
          <w:marBottom w:val="360"/>
          <w:divBdr>
            <w:top w:val="none" w:sz="0" w:space="0" w:color="auto"/>
            <w:left w:val="none" w:sz="0" w:space="0" w:color="auto"/>
            <w:bottom w:val="none" w:sz="0" w:space="0" w:color="auto"/>
            <w:right w:val="none" w:sz="0" w:space="0" w:color="auto"/>
          </w:divBdr>
        </w:div>
        <w:div w:id="1296521474">
          <w:marLeft w:val="677"/>
          <w:marRight w:val="0"/>
          <w:marTop w:val="77"/>
          <w:marBottom w:val="0"/>
          <w:divBdr>
            <w:top w:val="none" w:sz="0" w:space="0" w:color="auto"/>
            <w:left w:val="none" w:sz="0" w:space="0" w:color="auto"/>
            <w:bottom w:val="none" w:sz="0" w:space="0" w:color="auto"/>
            <w:right w:val="none" w:sz="0" w:space="0" w:color="auto"/>
          </w:divBdr>
        </w:div>
        <w:div w:id="1311010828">
          <w:marLeft w:val="677"/>
          <w:marRight w:val="0"/>
          <w:marTop w:val="77"/>
          <w:marBottom w:val="0"/>
          <w:divBdr>
            <w:top w:val="none" w:sz="0" w:space="0" w:color="auto"/>
            <w:left w:val="none" w:sz="0" w:space="0" w:color="auto"/>
            <w:bottom w:val="none" w:sz="0" w:space="0" w:color="auto"/>
            <w:right w:val="none" w:sz="0" w:space="0" w:color="auto"/>
          </w:divBdr>
        </w:div>
        <w:div w:id="1618217460">
          <w:marLeft w:val="677"/>
          <w:marRight w:val="0"/>
          <w:marTop w:val="77"/>
          <w:marBottom w:val="0"/>
          <w:divBdr>
            <w:top w:val="none" w:sz="0" w:space="0" w:color="auto"/>
            <w:left w:val="none" w:sz="0" w:space="0" w:color="auto"/>
            <w:bottom w:val="none" w:sz="0" w:space="0" w:color="auto"/>
            <w:right w:val="none" w:sz="0" w:space="0" w:color="auto"/>
          </w:divBdr>
        </w:div>
        <w:div w:id="1686399494">
          <w:marLeft w:val="677"/>
          <w:marRight w:val="0"/>
          <w:marTop w:val="77"/>
          <w:marBottom w:val="0"/>
          <w:divBdr>
            <w:top w:val="none" w:sz="0" w:space="0" w:color="auto"/>
            <w:left w:val="none" w:sz="0" w:space="0" w:color="auto"/>
            <w:bottom w:val="none" w:sz="0" w:space="0" w:color="auto"/>
            <w:right w:val="none" w:sz="0" w:space="0" w:color="auto"/>
          </w:divBdr>
        </w:div>
        <w:div w:id="1690370170">
          <w:marLeft w:val="115"/>
          <w:marRight w:val="0"/>
          <w:marTop w:val="86"/>
          <w:marBottom w:val="0"/>
          <w:divBdr>
            <w:top w:val="none" w:sz="0" w:space="0" w:color="auto"/>
            <w:left w:val="none" w:sz="0" w:space="0" w:color="auto"/>
            <w:bottom w:val="none" w:sz="0" w:space="0" w:color="auto"/>
            <w:right w:val="none" w:sz="0" w:space="0" w:color="auto"/>
          </w:divBdr>
        </w:div>
        <w:div w:id="1958364591">
          <w:marLeft w:val="115"/>
          <w:marRight w:val="0"/>
          <w:marTop w:val="86"/>
          <w:marBottom w:val="0"/>
          <w:divBdr>
            <w:top w:val="none" w:sz="0" w:space="0" w:color="auto"/>
            <w:left w:val="none" w:sz="0" w:space="0" w:color="auto"/>
            <w:bottom w:val="none" w:sz="0" w:space="0" w:color="auto"/>
            <w:right w:val="none" w:sz="0" w:space="0" w:color="auto"/>
          </w:divBdr>
        </w:div>
      </w:divsChild>
    </w:div>
    <w:div w:id="182596316">
      <w:bodyDiv w:val="1"/>
      <w:marLeft w:val="0"/>
      <w:marRight w:val="0"/>
      <w:marTop w:val="0"/>
      <w:marBottom w:val="0"/>
      <w:divBdr>
        <w:top w:val="none" w:sz="0" w:space="0" w:color="auto"/>
        <w:left w:val="none" w:sz="0" w:space="0" w:color="auto"/>
        <w:bottom w:val="none" w:sz="0" w:space="0" w:color="auto"/>
        <w:right w:val="none" w:sz="0" w:space="0" w:color="auto"/>
      </w:divBdr>
      <w:divsChild>
        <w:div w:id="1270818087">
          <w:marLeft w:val="115"/>
          <w:marRight w:val="0"/>
          <w:marTop w:val="86"/>
          <w:marBottom w:val="240"/>
          <w:divBdr>
            <w:top w:val="none" w:sz="0" w:space="0" w:color="auto"/>
            <w:left w:val="none" w:sz="0" w:space="0" w:color="auto"/>
            <w:bottom w:val="none" w:sz="0" w:space="0" w:color="auto"/>
            <w:right w:val="none" w:sz="0" w:space="0" w:color="auto"/>
          </w:divBdr>
        </w:div>
        <w:div w:id="1988825987">
          <w:marLeft w:val="115"/>
          <w:marRight w:val="0"/>
          <w:marTop w:val="86"/>
          <w:marBottom w:val="240"/>
          <w:divBdr>
            <w:top w:val="none" w:sz="0" w:space="0" w:color="auto"/>
            <w:left w:val="none" w:sz="0" w:space="0" w:color="auto"/>
            <w:bottom w:val="none" w:sz="0" w:space="0" w:color="auto"/>
            <w:right w:val="none" w:sz="0" w:space="0" w:color="auto"/>
          </w:divBdr>
        </w:div>
        <w:div w:id="1769886792">
          <w:marLeft w:val="115"/>
          <w:marRight w:val="0"/>
          <w:marTop w:val="86"/>
          <w:marBottom w:val="0"/>
          <w:divBdr>
            <w:top w:val="none" w:sz="0" w:space="0" w:color="auto"/>
            <w:left w:val="none" w:sz="0" w:space="0" w:color="auto"/>
            <w:bottom w:val="none" w:sz="0" w:space="0" w:color="auto"/>
            <w:right w:val="none" w:sz="0" w:space="0" w:color="auto"/>
          </w:divBdr>
        </w:div>
        <w:div w:id="1078207136">
          <w:marLeft w:val="677"/>
          <w:marRight w:val="0"/>
          <w:marTop w:val="77"/>
          <w:marBottom w:val="0"/>
          <w:divBdr>
            <w:top w:val="none" w:sz="0" w:space="0" w:color="auto"/>
            <w:left w:val="none" w:sz="0" w:space="0" w:color="auto"/>
            <w:bottom w:val="none" w:sz="0" w:space="0" w:color="auto"/>
            <w:right w:val="none" w:sz="0" w:space="0" w:color="auto"/>
          </w:divBdr>
        </w:div>
        <w:div w:id="1864971696">
          <w:marLeft w:val="677"/>
          <w:marRight w:val="0"/>
          <w:marTop w:val="77"/>
          <w:marBottom w:val="0"/>
          <w:divBdr>
            <w:top w:val="none" w:sz="0" w:space="0" w:color="auto"/>
            <w:left w:val="none" w:sz="0" w:space="0" w:color="auto"/>
            <w:bottom w:val="none" w:sz="0" w:space="0" w:color="auto"/>
            <w:right w:val="none" w:sz="0" w:space="0" w:color="auto"/>
          </w:divBdr>
        </w:div>
        <w:div w:id="1083532746">
          <w:marLeft w:val="677"/>
          <w:marRight w:val="0"/>
          <w:marTop w:val="77"/>
          <w:marBottom w:val="240"/>
          <w:divBdr>
            <w:top w:val="none" w:sz="0" w:space="0" w:color="auto"/>
            <w:left w:val="none" w:sz="0" w:space="0" w:color="auto"/>
            <w:bottom w:val="none" w:sz="0" w:space="0" w:color="auto"/>
            <w:right w:val="none" w:sz="0" w:space="0" w:color="auto"/>
          </w:divBdr>
        </w:div>
      </w:divsChild>
    </w:div>
    <w:div w:id="233515285">
      <w:bodyDiv w:val="1"/>
      <w:marLeft w:val="0"/>
      <w:marRight w:val="0"/>
      <w:marTop w:val="0"/>
      <w:marBottom w:val="0"/>
      <w:divBdr>
        <w:top w:val="none" w:sz="0" w:space="0" w:color="auto"/>
        <w:left w:val="none" w:sz="0" w:space="0" w:color="auto"/>
        <w:bottom w:val="none" w:sz="0" w:space="0" w:color="auto"/>
        <w:right w:val="none" w:sz="0" w:space="0" w:color="auto"/>
      </w:divBdr>
      <w:divsChild>
        <w:div w:id="97066281">
          <w:marLeft w:val="677"/>
          <w:marRight w:val="0"/>
          <w:marTop w:val="77"/>
          <w:marBottom w:val="0"/>
          <w:divBdr>
            <w:top w:val="none" w:sz="0" w:space="0" w:color="auto"/>
            <w:left w:val="none" w:sz="0" w:space="0" w:color="auto"/>
            <w:bottom w:val="none" w:sz="0" w:space="0" w:color="auto"/>
            <w:right w:val="none" w:sz="0" w:space="0" w:color="auto"/>
          </w:divBdr>
        </w:div>
        <w:div w:id="208225198">
          <w:marLeft w:val="115"/>
          <w:marRight w:val="0"/>
          <w:marTop w:val="86"/>
          <w:marBottom w:val="0"/>
          <w:divBdr>
            <w:top w:val="none" w:sz="0" w:space="0" w:color="auto"/>
            <w:left w:val="none" w:sz="0" w:space="0" w:color="auto"/>
            <w:bottom w:val="none" w:sz="0" w:space="0" w:color="auto"/>
            <w:right w:val="none" w:sz="0" w:space="0" w:color="auto"/>
          </w:divBdr>
        </w:div>
        <w:div w:id="802623571">
          <w:marLeft w:val="115"/>
          <w:marRight w:val="0"/>
          <w:marTop w:val="86"/>
          <w:marBottom w:val="0"/>
          <w:divBdr>
            <w:top w:val="none" w:sz="0" w:space="0" w:color="auto"/>
            <w:left w:val="none" w:sz="0" w:space="0" w:color="auto"/>
            <w:bottom w:val="none" w:sz="0" w:space="0" w:color="auto"/>
            <w:right w:val="none" w:sz="0" w:space="0" w:color="auto"/>
          </w:divBdr>
        </w:div>
        <w:div w:id="941768835">
          <w:marLeft w:val="115"/>
          <w:marRight w:val="0"/>
          <w:marTop w:val="86"/>
          <w:marBottom w:val="0"/>
          <w:divBdr>
            <w:top w:val="none" w:sz="0" w:space="0" w:color="auto"/>
            <w:left w:val="none" w:sz="0" w:space="0" w:color="auto"/>
            <w:bottom w:val="none" w:sz="0" w:space="0" w:color="auto"/>
            <w:right w:val="none" w:sz="0" w:space="0" w:color="auto"/>
          </w:divBdr>
        </w:div>
        <w:div w:id="1228422111">
          <w:marLeft w:val="115"/>
          <w:marRight w:val="0"/>
          <w:marTop w:val="86"/>
          <w:marBottom w:val="0"/>
          <w:divBdr>
            <w:top w:val="none" w:sz="0" w:space="0" w:color="auto"/>
            <w:left w:val="none" w:sz="0" w:space="0" w:color="auto"/>
            <w:bottom w:val="none" w:sz="0" w:space="0" w:color="auto"/>
            <w:right w:val="none" w:sz="0" w:space="0" w:color="auto"/>
          </w:divBdr>
        </w:div>
        <w:div w:id="1582137229">
          <w:marLeft w:val="677"/>
          <w:marRight w:val="0"/>
          <w:marTop w:val="77"/>
          <w:marBottom w:val="0"/>
          <w:divBdr>
            <w:top w:val="none" w:sz="0" w:space="0" w:color="auto"/>
            <w:left w:val="none" w:sz="0" w:space="0" w:color="auto"/>
            <w:bottom w:val="none" w:sz="0" w:space="0" w:color="auto"/>
            <w:right w:val="none" w:sz="0" w:space="0" w:color="auto"/>
          </w:divBdr>
        </w:div>
      </w:divsChild>
    </w:div>
    <w:div w:id="251402070">
      <w:bodyDiv w:val="1"/>
      <w:marLeft w:val="0"/>
      <w:marRight w:val="0"/>
      <w:marTop w:val="0"/>
      <w:marBottom w:val="0"/>
      <w:divBdr>
        <w:top w:val="none" w:sz="0" w:space="0" w:color="auto"/>
        <w:left w:val="none" w:sz="0" w:space="0" w:color="auto"/>
        <w:bottom w:val="none" w:sz="0" w:space="0" w:color="auto"/>
        <w:right w:val="none" w:sz="0" w:space="0" w:color="auto"/>
      </w:divBdr>
      <w:divsChild>
        <w:div w:id="810904520">
          <w:marLeft w:val="0"/>
          <w:marRight w:val="0"/>
          <w:marTop w:val="0"/>
          <w:marBottom w:val="0"/>
          <w:divBdr>
            <w:top w:val="none" w:sz="0" w:space="0" w:color="auto"/>
            <w:left w:val="none" w:sz="0" w:space="0" w:color="auto"/>
            <w:bottom w:val="none" w:sz="0" w:space="0" w:color="auto"/>
            <w:right w:val="none" w:sz="0" w:space="0" w:color="auto"/>
          </w:divBdr>
          <w:divsChild>
            <w:div w:id="1375039831">
              <w:marLeft w:val="90"/>
              <w:marRight w:val="90"/>
              <w:marTop w:val="0"/>
              <w:marBottom w:val="0"/>
              <w:divBdr>
                <w:top w:val="none" w:sz="0" w:space="0" w:color="auto"/>
                <w:left w:val="none" w:sz="0" w:space="0" w:color="auto"/>
                <w:bottom w:val="none" w:sz="0" w:space="0" w:color="auto"/>
                <w:right w:val="none" w:sz="0" w:space="0" w:color="auto"/>
              </w:divBdr>
              <w:divsChild>
                <w:div w:id="1271863236">
                  <w:marLeft w:val="0"/>
                  <w:marRight w:val="0"/>
                  <w:marTop w:val="0"/>
                  <w:marBottom w:val="0"/>
                  <w:divBdr>
                    <w:top w:val="none" w:sz="0" w:space="0" w:color="auto"/>
                    <w:left w:val="none" w:sz="0" w:space="0" w:color="auto"/>
                    <w:bottom w:val="none" w:sz="0" w:space="0" w:color="auto"/>
                    <w:right w:val="none" w:sz="0" w:space="0" w:color="auto"/>
                  </w:divBdr>
                  <w:divsChild>
                    <w:div w:id="423455633">
                      <w:marLeft w:val="525"/>
                      <w:marRight w:val="525"/>
                      <w:marTop w:val="375"/>
                      <w:marBottom w:val="525"/>
                      <w:divBdr>
                        <w:top w:val="none" w:sz="0" w:space="0" w:color="auto"/>
                        <w:left w:val="none" w:sz="0" w:space="0" w:color="auto"/>
                        <w:bottom w:val="none" w:sz="0" w:space="0" w:color="auto"/>
                        <w:right w:val="none" w:sz="0" w:space="0" w:color="auto"/>
                      </w:divBdr>
                      <w:divsChild>
                        <w:div w:id="569269415">
                          <w:marLeft w:val="0"/>
                          <w:marRight w:val="0"/>
                          <w:marTop w:val="0"/>
                          <w:marBottom w:val="0"/>
                          <w:divBdr>
                            <w:top w:val="none" w:sz="0" w:space="0" w:color="auto"/>
                            <w:left w:val="none" w:sz="0" w:space="0" w:color="auto"/>
                            <w:bottom w:val="none" w:sz="0" w:space="0" w:color="auto"/>
                            <w:right w:val="none" w:sz="0" w:space="0" w:color="auto"/>
                          </w:divBdr>
                          <w:divsChild>
                            <w:div w:id="2096319084">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364526917">
      <w:bodyDiv w:val="1"/>
      <w:marLeft w:val="0"/>
      <w:marRight w:val="0"/>
      <w:marTop w:val="0"/>
      <w:marBottom w:val="0"/>
      <w:divBdr>
        <w:top w:val="none" w:sz="0" w:space="0" w:color="auto"/>
        <w:left w:val="none" w:sz="0" w:space="0" w:color="auto"/>
        <w:bottom w:val="none" w:sz="0" w:space="0" w:color="auto"/>
        <w:right w:val="none" w:sz="0" w:space="0" w:color="auto"/>
      </w:divBdr>
    </w:div>
    <w:div w:id="381711792">
      <w:bodyDiv w:val="1"/>
      <w:marLeft w:val="0"/>
      <w:marRight w:val="0"/>
      <w:marTop w:val="0"/>
      <w:marBottom w:val="0"/>
      <w:divBdr>
        <w:top w:val="none" w:sz="0" w:space="0" w:color="auto"/>
        <w:left w:val="none" w:sz="0" w:space="0" w:color="auto"/>
        <w:bottom w:val="none" w:sz="0" w:space="0" w:color="auto"/>
        <w:right w:val="none" w:sz="0" w:space="0" w:color="auto"/>
      </w:divBdr>
    </w:div>
    <w:div w:id="391855129">
      <w:bodyDiv w:val="1"/>
      <w:marLeft w:val="0"/>
      <w:marRight w:val="0"/>
      <w:marTop w:val="0"/>
      <w:marBottom w:val="0"/>
      <w:divBdr>
        <w:top w:val="none" w:sz="0" w:space="0" w:color="auto"/>
        <w:left w:val="none" w:sz="0" w:space="0" w:color="auto"/>
        <w:bottom w:val="none" w:sz="0" w:space="0" w:color="auto"/>
        <w:right w:val="none" w:sz="0" w:space="0" w:color="auto"/>
      </w:divBdr>
    </w:div>
    <w:div w:id="409157253">
      <w:bodyDiv w:val="1"/>
      <w:marLeft w:val="0"/>
      <w:marRight w:val="0"/>
      <w:marTop w:val="0"/>
      <w:marBottom w:val="0"/>
      <w:divBdr>
        <w:top w:val="none" w:sz="0" w:space="0" w:color="auto"/>
        <w:left w:val="none" w:sz="0" w:space="0" w:color="auto"/>
        <w:bottom w:val="none" w:sz="0" w:space="0" w:color="auto"/>
        <w:right w:val="none" w:sz="0" w:space="0" w:color="auto"/>
      </w:divBdr>
    </w:div>
    <w:div w:id="425885253">
      <w:bodyDiv w:val="1"/>
      <w:marLeft w:val="0"/>
      <w:marRight w:val="0"/>
      <w:marTop w:val="0"/>
      <w:marBottom w:val="0"/>
      <w:divBdr>
        <w:top w:val="none" w:sz="0" w:space="0" w:color="auto"/>
        <w:left w:val="none" w:sz="0" w:space="0" w:color="auto"/>
        <w:bottom w:val="none" w:sz="0" w:space="0" w:color="auto"/>
        <w:right w:val="none" w:sz="0" w:space="0" w:color="auto"/>
      </w:divBdr>
    </w:div>
    <w:div w:id="519247059">
      <w:bodyDiv w:val="1"/>
      <w:marLeft w:val="0"/>
      <w:marRight w:val="0"/>
      <w:marTop w:val="0"/>
      <w:marBottom w:val="0"/>
      <w:divBdr>
        <w:top w:val="none" w:sz="0" w:space="0" w:color="auto"/>
        <w:left w:val="none" w:sz="0" w:space="0" w:color="auto"/>
        <w:bottom w:val="none" w:sz="0" w:space="0" w:color="auto"/>
        <w:right w:val="none" w:sz="0" w:space="0" w:color="auto"/>
      </w:divBdr>
      <w:divsChild>
        <w:div w:id="1533152826">
          <w:marLeft w:val="0"/>
          <w:marRight w:val="0"/>
          <w:marTop w:val="0"/>
          <w:marBottom w:val="0"/>
          <w:divBdr>
            <w:top w:val="none" w:sz="0" w:space="0" w:color="auto"/>
            <w:left w:val="none" w:sz="0" w:space="0" w:color="auto"/>
            <w:bottom w:val="none" w:sz="0" w:space="0" w:color="auto"/>
            <w:right w:val="none" w:sz="0" w:space="0" w:color="auto"/>
          </w:divBdr>
        </w:div>
        <w:div w:id="1565798198">
          <w:marLeft w:val="0"/>
          <w:marRight w:val="0"/>
          <w:marTop w:val="0"/>
          <w:marBottom w:val="0"/>
          <w:divBdr>
            <w:top w:val="none" w:sz="0" w:space="0" w:color="auto"/>
            <w:left w:val="none" w:sz="0" w:space="0" w:color="auto"/>
            <w:bottom w:val="none" w:sz="0" w:space="0" w:color="auto"/>
            <w:right w:val="none" w:sz="0" w:space="0" w:color="auto"/>
          </w:divBdr>
        </w:div>
        <w:div w:id="792749863">
          <w:marLeft w:val="0"/>
          <w:marRight w:val="0"/>
          <w:marTop w:val="0"/>
          <w:marBottom w:val="0"/>
          <w:divBdr>
            <w:top w:val="none" w:sz="0" w:space="0" w:color="auto"/>
            <w:left w:val="none" w:sz="0" w:space="0" w:color="auto"/>
            <w:bottom w:val="none" w:sz="0" w:space="0" w:color="auto"/>
            <w:right w:val="none" w:sz="0" w:space="0" w:color="auto"/>
          </w:divBdr>
        </w:div>
        <w:div w:id="2032411199">
          <w:marLeft w:val="0"/>
          <w:marRight w:val="0"/>
          <w:marTop w:val="0"/>
          <w:marBottom w:val="0"/>
          <w:divBdr>
            <w:top w:val="none" w:sz="0" w:space="0" w:color="auto"/>
            <w:left w:val="none" w:sz="0" w:space="0" w:color="auto"/>
            <w:bottom w:val="none" w:sz="0" w:space="0" w:color="auto"/>
            <w:right w:val="none" w:sz="0" w:space="0" w:color="auto"/>
          </w:divBdr>
        </w:div>
        <w:div w:id="1644700453">
          <w:marLeft w:val="0"/>
          <w:marRight w:val="0"/>
          <w:marTop w:val="0"/>
          <w:marBottom w:val="0"/>
          <w:divBdr>
            <w:top w:val="none" w:sz="0" w:space="0" w:color="auto"/>
            <w:left w:val="none" w:sz="0" w:space="0" w:color="auto"/>
            <w:bottom w:val="none" w:sz="0" w:space="0" w:color="auto"/>
            <w:right w:val="none" w:sz="0" w:space="0" w:color="auto"/>
          </w:divBdr>
        </w:div>
        <w:div w:id="1211502827">
          <w:marLeft w:val="0"/>
          <w:marRight w:val="0"/>
          <w:marTop w:val="0"/>
          <w:marBottom w:val="0"/>
          <w:divBdr>
            <w:top w:val="none" w:sz="0" w:space="0" w:color="auto"/>
            <w:left w:val="none" w:sz="0" w:space="0" w:color="auto"/>
            <w:bottom w:val="none" w:sz="0" w:space="0" w:color="auto"/>
            <w:right w:val="none" w:sz="0" w:space="0" w:color="auto"/>
          </w:divBdr>
        </w:div>
        <w:div w:id="348796616">
          <w:marLeft w:val="0"/>
          <w:marRight w:val="0"/>
          <w:marTop w:val="0"/>
          <w:marBottom w:val="0"/>
          <w:divBdr>
            <w:top w:val="none" w:sz="0" w:space="0" w:color="auto"/>
            <w:left w:val="none" w:sz="0" w:space="0" w:color="auto"/>
            <w:bottom w:val="none" w:sz="0" w:space="0" w:color="auto"/>
            <w:right w:val="none" w:sz="0" w:space="0" w:color="auto"/>
          </w:divBdr>
        </w:div>
      </w:divsChild>
    </w:div>
    <w:div w:id="519972723">
      <w:bodyDiv w:val="1"/>
      <w:marLeft w:val="0"/>
      <w:marRight w:val="0"/>
      <w:marTop w:val="0"/>
      <w:marBottom w:val="0"/>
      <w:divBdr>
        <w:top w:val="none" w:sz="0" w:space="0" w:color="auto"/>
        <w:left w:val="none" w:sz="0" w:space="0" w:color="auto"/>
        <w:bottom w:val="none" w:sz="0" w:space="0" w:color="auto"/>
        <w:right w:val="none" w:sz="0" w:space="0" w:color="auto"/>
      </w:divBdr>
    </w:div>
    <w:div w:id="546649622">
      <w:bodyDiv w:val="1"/>
      <w:marLeft w:val="0"/>
      <w:marRight w:val="0"/>
      <w:marTop w:val="0"/>
      <w:marBottom w:val="0"/>
      <w:divBdr>
        <w:top w:val="none" w:sz="0" w:space="0" w:color="auto"/>
        <w:left w:val="none" w:sz="0" w:space="0" w:color="auto"/>
        <w:bottom w:val="none" w:sz="0" w:space="0" w:color="auto"/>
        <w:right w:val="none" w:sz="0" w:space="0" w:color="auto"/>
      </w:divBdr>
      <w:divsChild>
        <w:div w:id="173351245">
          <w:marLeft w:val="677"/>
          <w:marRight w:val="0"/>
          <w:marTop w:val="77"/>
          <w:marBottom w:val="0"/>
          <w:divBdr>
            <w:top w:val="none" w:sz="0" w:space="0" w:color="auto"/>
            <w:left w:val="none" w:sz="0" w:space="0" w:color="auto"/>
            <w:bottom w:val="none" w:sz="0" w:space="0" w:color="auto"/>
            <w:right w:val="none" w:sz="0" w:space="0" w:color="auto"/>
          </w:divBdr>
        </w:div>
        <w:div w:id="747658719">
          <w:marLeft w:val="115"/>
          <w:marRight w:val="0"/>
          <w:marTop w:val="86"/>
          <w:marBottom w:val="0"/>
          <w:divBdr>
            <w:top w:val="none" w:sz="0" w:space="0" w:color="auto"/>
            <w:left w:val="none" w:sz="0" w:space="0" w:color="auto"/>
            <w:bottom w:val="none" w:sz="0" w:space="0" w:color="auto"/>
            <w:right w:val="none" w:sz="0" w:space="0" w:color="auto"/>
          </w:divBdr>
        </w:div>
        <w:div w:id="959653825">
          <w:marLeft w:val="677"/>
          <w:marRight w:val="0"/>
          <w:marTop w:val="77"/>
          <w:marBottom w:val="0"/>
          <w:divBdr>
            <w:top w:val="none" w:sz="0" w:space="0" w:color="auto"/>
            <w:left w:val="none" w:sz="0" w:space="0" w:color="auto"/>
            <w:bottom w:val="none" w:sz="0" w:space="0" w:color="auto"/>
            <w:right w:val="none" w:sz="0" w:space="0" w:color="auto"/>
          </w:divBdr>
        </w:div>
        <w:div w:id="971137120">
          <w:marLeft w:val="677"/>
          <w:marRight w:val="0"/>
          <w:marTop w:val="77"/>
          <w:marBottom w:val="0"/>
          <w:divBdr>
            <w:top w:val="none" w:sz="0" w:space="0" w:color="auto"/>
            <w:left w:val="none" w:sz="0" w:space="0" w:color="auto"/>
            <w:bottom w:val="none" w:sz="0" w:space="0" w:color="auto"/>
            <w:right w:val="none" w:sz="0" w:space="0" w:color="auto"/>
          </w:divBdr>
        </w:div>
        <w:div w:id="1005206190">
          <w:marLeft w:val="115"/>
          <w:marRight w:val="0"/>
          <w:marTop w:val="86"/>
          <w:marBottom w:val="240"/>
          <w:divBdr>
            <w:top w:val="none" w:sz="0" w:space="0" w:color="auto"/>
            <w:left w:val="none" w:sz="0" w:space="0" w:color="auto"/>
            <w:bottom w:val="none" w:sz="0" w:space="0" w:color="auto"/>
            <w:right w:val="none" w:sz="0" w:space="0" w:color="auto"/>
          </w:divBdr>
        </w:div>
        <w:div w:id="1087728981">
          <w:marLeft w:val="677"/>
          <w:marRight w:val="0"/>
          <w:marTop w:val="77"/>
          <w:marBottom w:val="0"/>
          <w:divBdr>
            <w:top w:val="none" w:sz="0" w:space="0" w:color="auto"/>
            <w:left w:val="none" w:sz="0" w:space="0" w:color="auto"/>
            <w:bottom w:val="none" w:sz="0" w:space="0" w:color="auto"/>
            <w:right w:val="none" w:sz="0" w:space="0" w:color="auto"/>
          </w:divBdr>
        </w:div>
        <w:div w:id="1363287481">
          <w:marLeft w:val="677"/>
          <w:marRight w:val="0"/>
          <w:marTop w:val="77"/>
          <w:marBottom w:val="240"/>
          <w:divBdr>
            <w:top w:val="none" w:sz="0" w:space="0" w:color="auto"/>
            <w:left w:val="none" w:sz="0" w:space="0" w:color="auto"/>
            <w:bottom w:val="none" w:sz="0" w:space="0" w:color="auto"/>
            <w:right w:val="none" w:sz="0" w:space="0" w:color="auto"/>
          </w:divBdr>
        </w:div>
        <w:div w:id="1636136275">
          <w:marLeft w:val="115"/>
          <w:marRight w:val="0"/>
          <w:marTop w:val="86"/>
          <w:marBottom w:val="0"/>
          <w:divBdr>
            <w:top w:val="none" w:sz="0" w:space="0" w:color="auto"/>
            <w:left w:val="none" w:sz="0" w:space="0" w:color="auto"/>
            <w:bottom w:val="none" w:sz="0" w:space="0" w:color="auto"/>
            <w:right w:val="none" w:sz="0" w:space="0" w:color="auto"/>
          </w:divBdr>
        </w:div>
        <w:div w:id="1887831524">
          <w:marLeft w:val="115"/>
          <w:marRight w:val="0"/>
          <w:marTop w:val="86"/>
          <w:marBottom w:val="240"/>
          <w:divBdr>
            <w:top w:val="none" w:sz="0" w:space="0" w:color="auto"/>
            <w:left w:val="none" w:sz="0" w:space="0" w:color="auto"/>
            <w:bottom w:val="none" w:sz="0" w:space="0" w:color="auto"/>
            <w:right w:val="none" w:sz="0" w:space="0" w:color="auto"/>
          </w:divBdr>
        </w:div>
        <w:div w:id="1915554424">
          <w:marLeft w:val="115"/>
          <w:marRight w:val="0"/>
          <w:marTop w:val="86"/>
          <w:marBottom w:val="240"/>
          <w:divBdr>
            <w:top w:val="none" w:sz="0" w:space="0" w:color="auto"/>
            <w:left w:val="none" w:sz="0" w:space="0" w:color="auto"/>
            <w:bottom w:val="none" w:sz="0" w:space="0" w:color="auto"/>
            <w:right w:val="none" w:sz="0" w:space="0" w:color="auto"/>
          </w:divBdr>
        </w:div>
      </w:divsChild>
    </w:div>
    <w:div w:id="548029736">
      <w:bodyDiv w:val="1"/>
      <w:marLeft w:val="0"/>
      <w:marRight w:val="0"/>
      <w:marTop w:val="0"/>
      <w:marBottom w:val="0"/>
      <w:divBdr>
        <w:top w:val="none" w:sz="0" w:space="0" w:color="auto"/>
        <w:left w:val="none" w:sz="0" w:space="0" w:color="auto"/>
        <w:bottom w:val="none" w:sz="0" w:space="0" w:color="auto"/>
        <w:right w:val="none" w:sz="0" w:space="0" w:color="auto"/>
      </w:divBdr>
    </w:div>
    <w:div w:id="636255999">
      <w:bodyDiv w:val="1"/>
      <w:marLeft w:val="0"/>
      <w:marRight w:val="0"/>
      <w:marTop w:val="0"/>
      <w:marBottom w:val="0"/>
      <w:divBdr>
        <w:top w:val="none" w:sz="0" w:space="0" w:color="auto"/>
        <w:left w:val="none" w:sz="0" w:space="0" w:color="auto"/>
        <w:bottom w:val="none" w:sz="0" w:space="0" w:color="auto"/>
        <w:right w:val="none" w:sz="0" w:space="0" w:color="auto"/>
      </w:divBdr>
    </w:div>
    <w:div w:id="670180307">
      <w:bodyDiv w:val="1"/>
      <w:marLeft w:val="0"/>
      <w:marRight w:val="0"/>
      <w:marTop w:val="0"/>
      <w:marBottom w:val="0"/>
      <w:divBdr>
        <w:top w:val="none" w:sz="0" w:space="0" w:color="auto"/>
        <w:left w:val="none" w:sz="0" w:space="0" w:color="auto"/>
        <w:bottom w:val="none" w:sz="0" w:space="0" w:color="auto"/>
        <w:right w:val="none" w:sz="0" w:space="0" w:color="auto"/>
      </w:divBdr>
    </w:div>
    <w:div w:id="720056346">
      <w:bodyDiv w:val="1"/>
      <w:marLeft w:val="0"/>
      <w:marRight w:val="0"/>
      <w:marTop w:val="0"/>
      <w:marBottom w:val="0"/>
      <w:divBdr>
        <w:top w:val="none" w:sz="0" w:space="0" w:color="auto"/>
        <w:left w:val="none" w:sz="0" w:space="0" w:color="auto"/>
        <w:bottom w:val="none" w:sz="0" w:space="0" w:color="auto"/>
        <w:right w:val="none" w:sz="0" w:space="0" w:color="auto"/>
      </w:divBdr>
    </w:div>
    <w:div w:id="859927677">
      <w:bodyDiv w:val="1"/>
      <w:marLeft w:val="0"/>
      <w:marRight w:val="0"/>
      <w:marTop w:val="0"/>
      <w:marBottom w:val="0"/>
      <w:divBdr>
        <w:top w:val="none" w:sz="0" w:space="0" w:color="auto"/>
        <w:left w:val="none" w:sz="0" w:space="0" w:color="auto"/>
        <w:bottom w:val="none" w:sz="0" w:space="0" w:color="auto"/>
        <w:right w:val="none" w:sz="0" w:space="0" w:color="auto"/>
      </w:divBdr>
    </w:div>
    <w:div w:id="861170000">
      <w:bodyDiv w:val="1"/>
      <w:marLeft w:val="0"/>
      <w:marRight w:val="0"/>
      <w:marTop w:val="0"/>
      <w:marBottom w:val="0"/>
      <w:divBdr>
        <w:top w:val="none" w:sz="0" w:space="0" w:color="auto"/>
        <w:left w:val="none" w:sz="0" w:space="0" w:color="auto"/>
        <w:bottom w:val="none" w:sz="0" w:space="0" w:color="auto"/>
        <w:right w:val="none" w:sz="0" w:space="0" w:color="auto"/>
      </w:divBdr>
      <w:divsChild>
        <w:div w:id="810054078">
          <w:marLeft w:val="115"/>
          <w:marRight w:val="0"/>
          <w:marTop w:val="86"/>
          <w:marBottom w:val="240"/>
          <w:divBdr>
            <w:top w:val="none" w:sz="0" w:space="0" w:color="auto"/>
            <w:left w:val="none" w:sz="0" w:space="0" w:color="auto"/>
            <w:bottom w:val="none" w:sz="0" w:space="0" w:color="auto"/>
            <w:right w:val="none" w:sz="0" w:space="0" w:color="auto"/>
          </w:divBdr>
        </w:div>
        <w:div w:id="1876307810">
          <w:marLeft w:val="115"/>
          <w:marRight w:val="0"/>
          <w:marTop w:val="86"/>
          <w:marBottom w:val="240"/>
          <w:divBdr>
            <w:top w:val="none" w:sz="0" w:space="0" w:color="auto"/>
            <w:left w:val="none" w:sz="0" w:space="0" w:color="auto"/>
            <w:bottom w:val="none" w:sz="0" w:space="0" w:color="auto"/>
            <w:right w:val="none" w:sz="0" w:space="0" w:color="auto"/>
          </w:divBdr>
        </w:div>
        <w:div w:id="1987736927">
          <w:marLeft w:val="115"/>
          <w:marRight w:val="0"/>
          <w:marTop w:val="86"/>
          <w:marBottom w:val="240"/>
          <w:divBdr>
            <w:top w:val="none" w:sz="0" w:space="0" w:color="auto"/>
            <w:left w:val="none" w:sz="0" w:space="0" w:color="auto"/>
            <w:bottom w:val="none" w:sz="0" w:space="0" w:color="auto"/>
            <w:right w:val="none" w:sz="0" w:space="0" w:color="auto"/>
          </w:divBdr>
        </w:div>
      </w:divsChild>
    </w:div>
    <w:div w:id="866023555">
      <w:bodyDiv w:val="1"/>
      <w:marLeft w:val="0"/>
      <w:marRight w:val="0"/>
      <w:marTop w:val="0"/>
      <w:marBottom w:val="0"/>
      <w:divBdr>
        <w:top w:val="none" w:sz="0" w:space="0" w:color="auto"/>
        <w:left w:val="none" w:sz="0" w:space="0" w:color="auto"/>
        <w:bottom w:val="none" w:sz="0" w:space="0" w:color="auto"/>
        <w:right w:val="none" w:sz="0" w:space="0" w:color="auto"/>
      </w:divBdr>
      <w:divsChild>
        <w:div w:id="544878960">
          <w:marLeft w:val="0"/>
          <w:marRight w:val="0"/>
          <w:marTop w:val="0"/>
          <w:marBottom w:val="0"/>
          <w:divBdr>
            <w:top w:val="single" w:sz="6" w:space="0" w:color="D0D0D0"/>
            <w:left w:val="single" w:sz="6" w:space="0" w:color="D0D0D0"/>
            <w:bottom w:val="single" w:sz="6" w:space="0" w:color="D0D0D0"/>
            <w:right w:val="single" w:sz="6" w:space="0" w:color="D0D0D0"/>
          </w:divBdr>
          <w:divsChild>
            <w:div w:id="478838694">
              <w:marLeft w:val="0"/>
              <w:marRight w:val="0"/>
              <w:marTop w:val="0"/>
              <w:marBottom w:val="0"/>
              <w:divBdr>
                <w:top w:val="none" w:sz="0" w:space="0" w:color="auto"/>
                <w:left w:val="none" w:sz="0" w:space="0" w:color="auto"/>
                <w:bottom w:val="none" w:sz="0" w:space="0" w:color="auto"/>
                <w:right w:val="none" w:sz="0" w:space="0" w:color="auto"/>
              </w:divBdr>
              <w:divsChild>
                <w:div w:id="2044791743">
                  <w:marLeft w:val="0"/>
                  <w:marRight w:val="0"/>
                  <w:marTop w:val="0"/>
                  <w:marBottom w:val="0"/>
                  <w:divBdr>
                    <w:top w:val="none" w:sz="0" w:space="0" w:color="auto"/>
                    <w:left w:val="none" w:sz="0" w:space="0" w:color="auto"/>
                    <w:bottom w:val="none" w:sz="0" w:space="0" w:color="auto"/>
                    <w:right w:val="none" w:sz="0" w:space="0" w:color="auto"/>
                  </w:divBdr>
                  <w:divsChild>
                    <w:div w:id="1725249960">
                      <w:marLeft w:val="0"/>
                      <w:marRight w:val="0"/>
                      <w:marTop w:val="150"/>
                      <w:marBottom w:val="0"/>
                      <w:divBdr>
                        <w:top w:val="none" w:sz="0" w:space="0" w:color="auto"/>
                        <w:left w:val="none" w:sz="0" w:space="0" w:color="auto"/>
                        <w:bottom w:val="none" w:sz="0" w:space="0" w:color="auto"/>
                        <w:right w:val="none" w:sz="0" w:space="0" w:color="auto"/>
                      </w:divBdr>
                      <w:divsChild>
                        <w:div w:id="446198678">
                          <w:marLeft w:val="0"/>
                          <w:marRight w:val="0"/>
                          <w:marTop w:val="0"/>
                          <w:marBottom w:val="0"/>
                          <w:divBdr>
                            <w:top w:val="none" w:sz="0" w:space="0" w:color="auto"/>
                            <w:left w:val="none" w:sz="0" w:space="0" w:color="auto"/>
                            <w:bottom w:val="none" w:sz="0" w:space="0" w:color="auto"/>
                            <w:right w:val="none" w:sz="0" w:space="0" w:color="auto"/>
                          </w:divBdr>
                          <w:divsChild>
                            <w:div w:id="60640419">
                              <w:marLeft w:val="0"/>
                              <w:marRight w:val="0"/>
                              <w:marTop w:val="75"/>
                              <w:marBottom w:val="0"/>
                              <w:divBdr>
                                <w:top w:val="none" w:sz="0" w:space="0" w:color="auto"/>
                                <w:left w:val="none" w:sz="0" w:space="0" w:color="auto"/>
                                <w:bottom w:val="none" w:sz="0" w:space="0" w:color="auto"/>
                                <w:right w:val="none" w:sz="0" w:space="0" w:color="auto"/>
                              </w:divBdr>
                            </w:div>
                            <w:div w:id="589317643">
                              <w:marLeft w:val="0"/>
                              <w:marRight w:val="0"/>
                              <w:marTop w:val="75"/>
                              <w:marBottom w:val="0"/>
                              <w:divBdr>
                                <w:top w:val="none" w:sz="0" w:space="0" w:color="auto"/>
                                <w:left w:val="none" w:sz="0" w:space="0" w:color="auto"/>
                                <w:bottom w:val="none" w:sz="0" w:space="0" w:color="auto"/>
                                <w:right w:val="none" w:sz="0" w:space="0" w:color="auto"/>
                              </w:divBdr>
                            </w:div>
                            <w:div w:id="973415042">
                              <w:marLeft w:val="0"/>
                              <w:marRight w:val="0"/>
                              <w:marTop w:val="75"/>
                              <w:marBottom w:val="0"/>
                              <w:divBdr>
                                <w:top w:val="none" w:sz="0" w:space="0" w:color="auto"/>
                                <w:left w:val="none" w:sz="0" w:space="0" w:color="auto"/>
                                <w:bottom w:val="none" w:sz="0" w:space="0" w:color="auto"/>
                                <w:right w:val="none" w:sz="0" w:space="0" w:color="auto"/>
                              </w:divBdr>
                            </w:div>
                            <w:div w:id="2001928900">
                              <w:marLeft w:val="0"/>
                              <w:marRight w:val="0"/>
                              <w:marTop w:val="75"/>
                              <w:marBottom w:val="0"/>
                              <w:divBdr>
                                <w:top w:val="none" w:sz="0" w:space="0" w:color="auto"/>
                                <w:left w:val="none" w:sz="0" w:space="0" w:color="auto"/>
                                <w:bottom w:val="none" w:sz="0" w:space="0" w:color="auto"/>
                                <w:right w:val="none" w:sz="0" w:space="0" w:color="auto"/>
                              </w:divBdr>
                            </w:div>
                            <w:div w:id="2046903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8546">
      <w:bodyDiv w:val="1"/>
      <w:marLeft w:val="0"/>
      <w:marRight w:val="0"/>
      <w:marTop w:val="0"/>
      <w:marBottom w:val="0"/>
      <w:divBdr>
        <w:top w:val="none" w:sz="0" w:space="0" w:color="auto"/>
        <w:left w:val="none" w:sz="0" w:space="0" w:color="auto"/>
        <w:bottom w:val="none" w:sz="0" w:space="0" w:color="auto"/>
        <w:right w:val="none" w:sz="0" w:space="0" w:color="auto"/>
      </w:divBdr>
    </w:div>
    <w:div w:id="923146847">
      <w:bodyDiv w:val="1"/>
      <w:marLeft w:val="0"/>
      <w:marRight w:val="0"/>
      <w:marTop w:val="0"/>
      <w:marBottom w:val="0"/>
      <w:divBdr>
        <w:top w:val="none" w:sz="0" w:space="0" w:color="auto"/>
        <w:left w:val="none" w:sz="0" w:space="0" w:color="auto"/>
        <w:bottom w:val="none" w:sz="0" w:space="0" w:color="auto"/>
        <w:right w:val="none" w:sz="0" w:space="0" w:color="auto"/>
      </w:divBdr>
      <w:divsChild>
        <w:div w:id="293757170">
          <w:marLeft w:val="0"/>
          <w:marRight w:val="0"/>
          <w:marTop w:val="0"/>
          <w:marBottom w:val="0"/>
          <w:divBdr>
            <w:top w:val="none" w:sz="0" w:space="0" w:color="auto"/>
            <w:left w:val="none" w:sz="0" w:space="0" w:color="auto"/>
            <w:bottom w:val="none" w:sz="0" w:space="0" w:color="auto"/>
            <w:right w:val="none" w:sz="0" w:space="0" w:color="auto"/>
          </w:divBdr>
          <w:divsChild>
            <w:div w:id="1400245466">
              <w:marLeft w:val="0"/>
              <w:marRight w:val="0"/>
              <w:marTop w:val="0"/>
              <w:marBottom w:val="0"/>
              <w:divBdr>
                <w:top w:val="none" w:sz="0" w:space="0" w:color="auto"/>
                <w:left w:val="none" w:sz="0" w:space="0" w:color="auto"/>
                <w:bottom w:val="none" w:sz="0" w:space="0" w:color="auto"/>
                <w:right w:val="none" w:sz="0" w:space="0" w:color="auto"/>
              </w:divBdr>
              <w:divsChild>
                <w:div w:id="1532456092">
                  <w:marLeft w:val="0"/>
                  <w:marRight w:val="0"/>
                  <w:marTop w:val="0"/>
                  <w:marBottom w:val="0"/>
                  <w:divBdr>
                    <w:top w:val="none" w:sz="0" w:space="0" w:color="auto"/>
                    <w:left w:val="none" w:sz="0" w:space="0" w:color="auto"/>
                    <w:bottom w:val="none" w:sz="0" w:space="0" w:color="auto"/>
                    <w:right w:val="none" w:sz="0" w:space="0" w:color="auto"/>
                  </w:divBdr>
                  <w:divsChild>
                    <w:div w:id="1260915134">
                      <w:marLeft w:val="0"/>
                      <w:marRight w:val="0"/>
                      <w:marTop w:val="0"/>
                      <w:marBottom w:val="0"/>
                      <w:divBdr>
                        <w:top w:val="none" w:sz="0" w:space="0" w:color="auto"/>
                        <w:left w:val="none" w:sz="0" w:space="0" w:color="auto"/>
                        <w:bottom w:val="none" w:sz="0" w:space="0" w:color="auto"/>
                        <w:right w:val="none" w:sz="0" w:space="0" w:color="auto"/>
                      </w:divBdr>
                      <w:divsChild>
                        <w:div w:id="629092821">
                          <w:marLeft w:val="0"/>
                          <w:marRight w:val="0"/>
                          <w:marTop w:val="0"/>
                          <w:marBottom w:val="0"/>
                          <w:divBdr>
                            <w:top w:val="none" w:sz="0" w:space="0" w:color="auto"/>
                            <w:left w:val="none" w:sz="0" w:space="0" w:color="auto"/>
                            <w:bottom w:val="none" w:sz="0" w:space="0" w:color="auto"/>
                            <w:right w:val="none" w:sz="0" w:space="0" w:color="auto"/>
                          </w:divBdr>
                          <w:divsChild>
                            <w:div w:id="986202281">
                              <w:marLeft w:val="0"/>
                              <w:marRight w:val="0"/>
                              <w:marTop w:val="0"/>
                              <w:marBottom w:val="0"/>
                              <w:divBdr>
                                <w:top w:val="none" w:sz="0" w:space="0" w:color="auto"/>
                                <w:left w:val="none" w:sz="0" w:space="0" w:color="auto"/>
                                <w:bottom w:val="none" w:sz="0" w:space="0" w:color="auto"/>
                                <w:right w:val="none" w:sz="0" w:space="0" w:color="auto"/>
                              </w:divBdr>
                              <w:divsChild>
                                <w:div w:id="1728725125">
                                  <w:marLeft w:val="0"/>
                                  <w:marRight w:val="0"/>
                                  <w:marTop w:val="0"/>
                                  <w:marBottom w:val="0"/>
                                  <w:divBdr>
                                    <w:top w:val="none" w:sz="0" w:space="0" w:color="auto"/>
                                    <w:left w:val="none" w:sz="0" w:space="0" w:color="auto"/>
                                    <w:bottom w:val="none" w:sz="0" w:space="0" w:color="auto"/>
                                    <w:right w:val="none" w:sz="0" w:space="0" w:color="auto"/>
                                  </w:divBdr>
                                  <w:divsChild>
                                    <w:div w:id="1888880963">
                                      <w:marLeft w:val="0"/>
                                      <w:marRight w:val="0"/>
                                      <w:marTop w:val="0"/>
                                      <w:marBottom w:val="0"/>
                                      <w:divBdr>
                                        <w:top w:val="none" w:sz="0" w:space="0" w:color="auto"/>
                                        <w:left w:val="none" w:sz="0" w:space="0" w:color="auto"/>
                                        <w:bottom w:val="none" w:sz="0" w:space="0" w:color="auto"/>
                                        <w:right w:val="none" w:sz="0" w:space="0" w:color="auto"/>
                                      </w:divBdr>
                                      <w:divsChild>
                                        <w:div w:id="1684168427">
                                          <w:marLeft w:val="0"/>
                                          <w:marRight w:val="0"/>
                                          <w:marTop w:val="0"/>
                                          <w:marBottom w:val="0"/>
                                          <w:divBdr>
                                            <w:top w:val="none" w:sz="0" w:space="0" w:color="auto"/>
                                            <w:left w:val="none" w:sz="0" w:space="0" w:color="auto"/>
                                            <w:bottom w:val="none" w:sz="0" w:space="0" w:color="auto"/>
                                            <w:right w:val="none" w:sz="0" w:space="0" w:color="auto"/>
                                          </w:divBdr>
                                          <w:divsChild>
                                            <w:div w:id="1884054084">
                                              <w:marLeft w:val="0"/>
                                              <w:marRight w:val="0"/>
                                              <w:marTop w:val="0"/>
                                              <w:marBottom w:val="0"/>
                                              <w:divBdr>
                                                <w:top w:val="none" w:sz="0" w:space="0" w:color="auto"/>
                                                <w:left w:val="none" w:sz="0" w:space="0" w:color="auto"/>
                                                <w:bottom w:val="none" w:sz="0" w:space="0" w:color="auto"/>
                                                <w:right w:val="none" w:sz="0" w:space="0" w:color="auto"/>
                                              </w:divBdr>
                                              <w:divsChild>
                                                <w:div w:id="891620369">
                                                  <w:marLeft w:val="0"/>
                                                  <w:marRight w:val="0"/>
                                                  <w:marTop w:val="0"/>
                                                  <w:marBottom w:val="0"/>
                                                  <w:divBdr>
                                                    <w:top w:val="none" w:sz="0" w:space="0" w:color="auto"/>
                                                    <w:left w:val="none" w:sz="0" w:space="0" w:color="auto"/>
                                                    <w:bottom w:val="none" w:sz="0" w:space="0" w:color="auto"/>
                                                    <w:right w:val="none" w:sz="0" w:space="0" w:color="auto"/>
                                                  </w:divBdr>
                                                  <w:divsChild>
                                                    <w:div w:id="595402365">
                                                      <w:marLeft w:val="0"/>
                                                      <w:marRight w:val="0"/>
                                                      <w:marTop w:val="0"/>
                                                      <w:marBottom w:val="0"/>
                                                      <w:divBdr>
                                                        <w:top w:val="none" w:sz="0" w:space="0" w:color="auto"/>
                                                        <w:left w:val="none" w:sz="0" w:space="0" w:color="auto"/>
                                                        <w:bottom w:val="none" w:sz="0" w:space="0" w:color="auto"/>
                                                        <w:right w:val="none" w:sz="0" w:space="0" w:color="auto"/>
                                                      </w:divBdr>
                                                      <w:divsChild>
                                                        <w:div w:id="324093050">
                                                          <w:marLeft w:val="0"/>
                                                          <w:marRight w:val="0"/>
                                                          <w:marTop w:val="450"/>
                                                          <w:marBottom w:val="450"/>
                                                          <w:divBdr>
                                                            <w:top w:val="none" w:sz="0" w:space="0" w:color="auto"/>
                                                            <w:left w:val="none" w:sz="0" w:space="0" w:color="auto"/>
                                                            <w:bottom w:val="none" w:sz="0" w:space="0" w:color="auto"/>
                                                            <w:right w:val="none" w:sz="0" w:space="0" w:color="auto"/>
                                                          </w:divBdr>
                                                          <w:divsChild>
                                                            <w:div w:id="1788352394">
                                                              <w:marLeft w:val="0"/>
                                                              <w:marRight w:val="0"/>
                                                              <w:marTop w:val="0"/>
                                                              <w:marBottom w:val="0"/>
                                                              <w:divBdr>
                                                                <w:top w:val="none" w:sz="0" w:space="0" w:color="auto"/>
                                                                <w:left w:val="none" w:sz="0" w:space="0" w:color="auto"/>
                                                                <w:bottom w:val="none" w:sz="0" w:space="0" w:color="auto"/>
                                                                <w:right w:val="none" w:sz="0" w:space="0" w:color="auto"/>
                                                              </w:divBdr>
                                                              <w:divsChild>
                                                                <w:div w:id="1667321370">
                                                                  <w:marLeft w:val="0"/>
                                                                  <w:marRight w:val="0"/>
                                                                  <w:marTop w:val="0"/>
                                                                  <w:marBottom w:val="0"/>
                                                                  <w:divBdr>
                                                                    <w:top w:val="none" w:sz="0" w:space="0" w:color="auto"/>
                                                                    <w:left w:val="none" w:sz="0" w:space="0" w:color="auto"/>
                                                                    <w:bottom w:val="none" w:sz="0" w:space="0" w:color="auto"/>
                                                                    <w:right w:val="none" w:sz="0" w:space="0" w:color="auto"/>
                                                                  </w:divBdr>
                                                                  <w:divsChild>
                                                                    <w:div w:id="1543245320">
                                                                      <w:marLeft w:val="0"/>
                                                                      <w:marRight w:val="0"/>
                                                                      <w:marTop w:val="0"/>
                                                                      <w:marBottom w:val="0"/>
                                                                      <w:divBdr>
                                                                        <w:top w:val="none" w:sz="0" w:space="0" w:color="auto"/>
                                                                        <w:left w:val="none" w:sz="0" w:space="0" w:color="auto"/>
                                                                        <w:bottom w:val="none" w:sz="0" w:space="0" w:color="auto"/>
                                                                        <w:right w:val="none" w:sz="0" w:space="0" w:color="auto"/>
                                                                      </w:divBdr>
                                                                      <w:divsChild>
                                                                        <w:div w:id="1511721844">
                                                                          <w:marLeft w:val="0"/>
                                                                          <w:marRight w:val="0"/>
                                                                          <w:marTop w:val="0"/>
                                                                          <w:marBottom w:val="375"/>
                                                                          <w:divBdr>
                                                                            <w:top w:val="dotted" w:sz="6" w:space="11" w:color="CCBB99"/>
                                                                            <w:left w:val="dotted" w:sz="6" w:space="15" w:color="CCBB99"/>
                                                                            <w:bottom w:val="dotted" w:sz="6" w:space="11" w:color="CCBB99"/>
                                                                            <w:right w:val="dotted" w:sz="6" w:space="15" w:color="CCBB99"/>
                                                                          </w:divBdr>
                                                                          <w:divsChild>
                                                                            <w:div w:id="1520309969">
                                                                              <w:marLeft w:val="0"/>
                                                                              <w:marRight w:val="0"/>
                                                                              <w:marTop w:val="0"/>
                                                                              <w:marBottom w:val="0"/>
                                                                              <w:divBdr>
                                                                                <w:top w:val="none" w:sz="0" w:space="0" w:color="auto"/>
                                                                                <w:left w:val="none" w:sz="0" w:space="0" w:color="auto"/>
                                                                                <w:bottom w:val="none" w:sz="0" w:space="0" w:color="auto"/>
                                                                                <w:right w:val="none" w:sz="0" w:space="0" w:color="auto"/>
                                                                              </w:divBdr>
                                                                              <w:divsChild>
                                                                                <w:div w:id="804659318">
                                                                                  <w:marLeft w:val="0"/>
                                                                                  <w:marRight w:val="0"/>
                                                                                  <w:marTop w:val="0"/>
                                                                                  <w:marBottom w:val="0"/>
                                                                                  <w:divBdr>
                                                                                    <w:top w:val="none" w:sz="0" w:space="0" w:color="auto"/>
                                                                                    <w:left w:val="none" w:sz="0" w:space="0" w:color="auto"/>
                                                                                    <w:bottom w:val="none" w:sz="0" w:space="0" w:color="auto"/>
                                                                                    <w:right w:val="none" w:sz="0" w:space="0" w:color="auto"/>
                                                                                  </w:divBdr>
                                                                                  <w:divsChild>
                                                                                    <w:div w:id="21053582">
                                                                                      <w:marLeft w:val="0"/>
                                                                                      <w:marRight w:val="0"/>
                                                                                      <w:marTop w:val="0"/>
                                                                                      <w:marBottom w:val="0"/>
                                                                                      <w:divBdr>
                                                                                        <w:top w:val="none" w:sz="0" w:space="0" w:color="auto"/>
                                                                                        <w:left w:val="none" w:sz="0" w:space="0" w:color="auto"/>
                                                                                        <w:bottom w:val="none" w:sz="0" w:space="0" w:color="auto"/>
                                                                                        <w:right w:val="none" w:sz="0" w:space="0" w:color="auto"/>
                                                                                      </w:divBdr>
                                                                                    </w:div>
                                                                                    <w:div w:id="320937038">
                                                                                      <w:marLeft w:val="0"/>
                                                                                      <w:marRight w:val="0"/>
                                                                                      <w:marTop w:val="0"/>
                                                                                      <w:marBottom w:val="0"/>
                                                                                      <w:divBdr>
                                                                                        <w:top w:val="none" w:sz="0" w:space="0" w:color="auto"/>
                                                                                        <w:left w:val="none" w:sz="0" w:space="0" w:color="auto"/>
                                                                                        <w:bottom w:val="none" w:sz="0" w:space="0" w:color="auto"/>
                                                                                        <w:right w:val="none" w:sz="0" w:space="0" w:color="auto"/>
                                                                                      </w:divBdr>
                                                                                    </w:div>
                                                                                    <w:div w:id="489520041">
                                                                                      <w:marLeft w:val="0"/>
                                                                                      <w:marRight w:val="0"/>
                                                                                      <w:marTop w:val="0"/>
                                                                                      <w:marBottom w:val="0"/>
                                                                                      <w:divBdr>
                                                                                        <w:top w:val="none" w:sz="0" w:space="0" w:color="auto"/>
                                                                                        <w:left w:val="none" w:sz="0" w:space="0" w:color="auto"/>
                                                                                        <w:bottom w:val="none" w:sz="0" w:space="0" w:color="auto"/>
                                                                                        <w:right w:val="none" w:sz="0" w:space="0" w:color="auto"/>
                                                                                      </w:divBdr>
                                                                                    </w:div>
                                                                                    <w:div w:id="577399171">
                                                                                      <w:marLeft w:val="0"/>
                                                                                      <w:marRight w:val="0"/>
                                                                                      <w:marTop w:val="0"/>
                                                                                      <w:marBottom w:val="0"/>
                                                                                      <w:divBdr>
                                                                                        <w:top w:val="none" w:sz="0" w:space="0" w:color="auto"/>
                                                                                        <w:left w:val="none" w:sz="0" w:space="0" w:color="auto"/>
                                                                                        <w:bottom w:val="none" w:sz="0" w:space="0" w:color="auto"/>
                                                                                        <w:right w:val="none" w:sz="0" w:space="0" w:color="auto"/>
                                                                                      </w:divBdr>
                                                                                    </w:div>
                                                                                    <w:div w:id="712266247">
                                                                                      <w:marLeft w:val="0"/>
                                                                                      <w:marRight w:val="0"/>
                                                                                      <w:marTop w:val="0"/>
                                                                                      <w:marBottom w:val="0"/>
                                                                                      <w:divBdr>
                                                                                        <w:top w:val="none" w:sz="0" w:space="0" w:color="auto"/>
                                                                                        <w:left w:val="none" w:sz="0" w:space="0" w:color="auto"/>
                                                                                        <w:bottom w:val="none" w:sz="0" w:space="0" w:color="auto"/>
                                                                                        <w:right w:val="none" w:sz="0" w:space="0" w:color="auto"/>
                                                                                      </w:divBdr>
                                                                                    </w:div>
                                                                                    <w:div w:id="791636763">
                                                                                      <w:marLeft w:val="0"/>
                                                                                      <w:marRight w:val="0"/>
                                                                                      <w:marTop w:val="0"/>
                                                                                      <w:marBottom w:val="0"/>
                                                                                      <w:divBdr>
                                                                                        <w:top w:val="none" w:sz="0" w:space="0" w:color="auto"/>
                                                                                        <w:left w:val="none" w:sz="0" w:space="0" w:color="auto"/>
                                                                                        <w:bottom w:val="none" w:sz="0" w:space="0" w:color="auto"/>
                                                                                        <w:right w:val="none" w:sz="0" w:space="0" w:color="auto"/>
                                                                                      </w:divBdr>
                                                                                    </w:div>
                                                                                    <w:div w:id="1161628050">
                                                                                      <w:marLeft w:val="0"/>
                                                                                      <w:marRight w:val="0"/>
                                                                                      <w:marTop w:val="0"/>
                                                                                      <w:marBottom w:val="0"/>
                                                                                      <w:divBdr>
                                                                                        <w:top w:val="none" w:sz="0" w:space="0" w:color="auto"/>
                                                                                        <w:left w:val="none" w:sz="0" w:space="0" w:color="auto"/>
                                                                                        <w:bottom w:val="none" w:sz="0" w:space="0" w:color="auto"/>
                                                                                        <w:right w:val="none" w:sz="0" w:space="0" w:color="auto"/>
                                                                                      </w:divBdr>
                                                                                    </w:div>
                                                                                    <w:div w:id="1880701520">
                                                                                      <w:marLeft w:val="0"/>
                                                                                      <w:marRight w:val="0"/>
                                                                                      <w:marTop w:val="0"/>
                                                                                      <w:marBottom w:val="0"/>
                                                                                      <w:divBdr>
                                                                                        <w:top w:val="none" w:sz="0" w:space="0" w:color="auto"/>
                                                                                        <w:left w:val="none" w:sz="0" w:space="0" w:color="auto"/>
                                                                                        <w:bottom w:val="none" w:sz="0" w:space="0" w:color="auto"/>
                                                                                        <w:right w:val="none" w:sz="0" w:space="0" w:color="auto"/>
                                                                                      </w:divBdr>
                                                                                    </w:div>
                                                                                    <w:div w:id="20591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243250">
      <w:bodyDiv w:val="1"/>
      <w:marLeft w:val="0"/>
      <w:marRight w:val="0"/>
      <w:marTop w:val="0"/>
      <w:marBottom w:val="0"/>
      <w:divBdr>
        <w:top w:val="none" w:sz="0" w:space="0" w:color="auto"/>
        <w:left w:val="none" w:sz="0" w:space="0" w:color="auto"/>
        <w:bottom w:val="none" w:sz="0" w:space="0" w:color="auto"/>
        <w:right w:val="none" w:sz="0" w:space="0" w:color="auto"/>
      </w:divBdr>
    </w:div>
    <w:div w:id="989093635">
      <w:bodyDiv w:val="1"/>
      <w:marLeft w:val="0"/>
      <w:marRight w:val="0"/>
      <w:marTop w:val="0"/>
      <w:marBottom w:val="0"/>
      <w:divBdr>
        <w:top w:val="none" w:sz="0" w:space="0" w:color="auto"/>
        <w:left w:val="none" w:sz="0" w:space="0" w:color="auto"/>
        <w:bottom w:val="none" w:sz="0" w:space="0" w:color="auto"/>
        <w:right w:val="none" w:sz="0" w:space="0" w:color="auto"/>
      </w:divBdr>
    </w:div>
    <w:div w:id="998385354">
      <w:bodyDiv w:val="1"/>
      <w:marLeft w:val="0"/>
      <w:marRight w:val="0"/>
      <w:marTop w:val="0"/>
      <w:marBottom w:val="0"/>
      <w:divBdr>
        <w:top w:val="none" w:sz="0" w:space="0" w:color="auto"/>
        <w:left w:val="none" w:sz="0" w:space="0" w:color="auto"/>
        <w:bottom w:val="none" w:sz="0" w:space="0" w:color="auto"/>
        <w:right w:val="none" w:sz="0" w:space="0" w:color="auto"/>
      </w:divBdr>
    </w:div>
    <w:div w:id="1036270317">
      <w:bodyDiv w:val="1"/>
      <w:marLeft w:val="0"/>
      <w:marRight w:val="0"/>
      <w:marTop w:val="0"/>
      <w:marBottom w:val="0"/>
      <w:divBdr>
        <w:top w:val="none" w:sz="0" w:space="0" w:color="auto"/>
        <w:left w:val="none" w:sz="0" w:space="0" w:color="auto"/>
        <w:bottom w:val="none" w:sz="0" w:space="0" w:color="auto"/>
        <w:right w:val="none" w:sz="0" w:space="0" w:color="auto"/>
      </w:divBdr>
    </w:div>
    <w:div w:id="1087193688">
      <w:bodyDiv w:val="1"/>
      <w:marLeft w:val="0"/>
      <w:marRight w:val="0"/>
      <w:marTop w:val="0"/>
      <w:marBottom w:val="0"/>
      <w:divBdr>
        <w:top w:val="none" w:sz="0" w:space="0" w:color="auto"/>
        <w:left w:val="none" w:sz="0" w:space="0" w:color="auto"/>
        <w:bottom w:val="none" w:sz="0" w:space="0" w:color="auto"/>
        <w:right w:val="none" w:sz="0" w:space="0" w:color="auto"/>
      </w:divBdr>
    </w:div>
    <w:div w:id="1188132009">
      <w:bodyDiv w:val="1"/>
      <w:marLeft w:val="0"/>
      <w:marRight w:val="0"/>
      <w:marTop w:val="0"/>
      <w:marBottom w:val="0"/>
      <w:divBdr>
        <w:top w:val="none" w:sz="0" w:space="0" w:color="auto"/>
        <w:left w:val="none" w:sz="0" w:space="0" w:color="auto"/>
        <w:bottom w:val="none" w:sz="0" w:space="0" w:color="auto"/>
        <w:right w:val="none" w:sz="0" w:space="0" w:color="auto"/>
      </w:divBdr>
    </w:div>
    <w:div w:id="1235704905">
      <w:bodyDiv w:val="1"/>
      <w:marLeft w:val="0"/>
      <w:marRight w:val="0"/>
      <w:marTop w:val="0"/>
      <w:marBottom w:val="0"/>
      <w:divBdr>
        <w:top w:val="none" w:sz="0" w:space="0" w:color="auto"/>
        <w:left w:val="none" w:sz="0" w:space="0" w:color="auto"/>
        <w:bottom w:val="none" w:sz="0" w:space="0" w:color="auto"/>
        <w:right w:val="none" w:sz="0" w:space="0" w:color="auto"/>
      </w:divBdr>
    </w:div>
    <w:div w:id="1247882782">
      <w:bodyDiv w:val="1"/>
      <w:marLeft w:val="0"/>
      <w:marRight w:val="0"/>
      <w:marTop w:val="0"/>
      <w:marBottom w:val="0"/>
      <w:divBdr>
        <w:top w:val="none" w:sz="0" w:space="0" w:color="auto"/>
        <w:left w:val="none" w:sz="0" w:space="0" w:color="auto"/>
        <w:bottom w:val="none" w:sz="0" w:space="0" w:color="auto"/>
        <w:right w:val="none" w:sz="0" w:space="0" w:color="auto"/>
      </w:divBdr>
      <w:divsChild>
        <w:div w:id="41567291">
          <w:marLeft w:val="720"/>
          <w:marRight w:val="0"/>
          <w:marTop w:val="67"/>
          <w:marBottom w:val="0"/>
          <w:divBdr>
            <w:top w:val="none" w:sz="0" w:space="0" w:color="auto"/>
            <w:left w:val="none" w:sz="0" w:space="0" w:color="auto"/>
            <w:bottom w:val="none" w:sz="0" w:space="0" w:color="auto"/>
            <w:right w:val="none" w:sz="0" w:space="0" w:color="auto"/>
          </w:divBdr>
        </w:div>
        <w:div w:id="1256741285">
          <w:marLeft w:val="1354"/>
          <w:marRight w:val="0"/>
          <w:marTop w:val="58"/>
          <w:marBottom w:val="0"/>
          <w:divBdr>
            <w:top w:val="none" w:sz="0" w:space="0" w:color="auto"/>
            <w:left w:val="none" w:sz="0" w:space="0" w:color="auto"/>
            <w:bottom w:val="none" w:sz="0" w:space="0" w:color="auto"/>
            <w:right w:val="none" w:sz="0" w:space="0" w:color="auto"/>
          </w:divBdr>
        </w:div>
        <w:div w:id="2105301034">
          <w:marLeft w:val="1354"/>
          <w:marRight w:val="0"/>
          <w:marTop w:val="58"/>
          <w:marBottom w:val="0"/>
          <w:divBdr>
            <w:top w:val="none" w:sz="0" w:space="0" w:color="auto"/>
            <w:left w:val="none" w:sz="0" w:space="0" w:color="auto"/>
            <w:bottom w:val="none" w:sz="0" w:space="0" w:color="auto"/>
            <w:right w:val="none" w:sz="0" w:space="0" w:color="auto"/>
          </w:divBdr>
        </w:div>
        <w:div w:id="1720130510">
          <w:marLeft w:val="1354"/>
          <w:marRight w:val="0"/>
          <w:marTop w:val="58"/>
          <w:marBottom w:val="240"/>
          <w:divBdr>
            <w:top w:val="none" w:sz="0" w:space="0" w:color="auto"/>
            <w:left w:val="none" w:sz="0" w:space="0" w:color="auto"/>
            <w:bottom w:val="none" w:sz="0" w:space="0" w:color="auto"/>
            <w:right w:val="none" w:sz="0" w:space="0" w:color="auto"/>
          </w:divBdr>
        </w:div>
        <w:div w:id="1307392495">
          <w:marLeft w:val="720"/>
          <w:marRight w:val="0"/>
          <w:marTop w:val="67"/>
          <w:marBottom w:val="0"/>
          <w:divBdr>
            <w:top w:val="none" w:sz="0" w:space="0" w:color="auto"/>
            <w:left w:val="none" w:sz="0" w:space="0" w:color="auto"/>
            <w:bottom w:val="none" w:sz="0" w:space="0" w:color="auto"/>
            <w:right w:val="none" w:sz="0" w:space="0" w:color="auto"/>
          </w:divBdr>
        </w:div>
        <w:div w:id="1481383279">
          <w:marLeft w:val="1354"/>
          <w:marRight w:val="0"/>
          <w:marTop w:val="58"/>
          <w:marBottom w:val="0"/>
          <w:divBdr>
            <w:top w:val="none" w:sz="0" w:space="0" w:color="auto"/>
            <w:left w:val="none" w:sz="0" w:space="0" w:color="auto"/>
            <w:bottom w:val="none" w:sz="0" w:space="0" w:color="auto"/>
            <w:right w:val="none" w:sz="0" w:space="0" w:color="auto"/>
          </w:divBdr>
        </w:div>
        <w:div w:id="1117027499">
          <w:marLeft w:val="1354"/>
          <w:marRight w:val="0"/>
          <w:marTop w:val="58"/>
          <w:marBottom w:val="0"/>
          <w:divBdr>
            <w:top w:val="none" w:sz="0" w:space="0" w:color="auto"/>
            <w:left w:val="none" w:sz="0" w:space="0" w:color="auto"/>
            <w:bottom w:val="none" w:sz="0" w:space="0" w:color="auto"/>
            <w:right w:val="none" w:sz="0" w:space="0" w:color="auto"/>
          </w:divBdr>
        </w:div>
        <w:div w:id="1745177763">
          <w:marLeft w:val="1354"/>
          <w:marRight w:val="0"/>
          <w:marTop w:val="58"/>
          <w:marBottom w:val="240"/>
          <w:divBdr>
            <w:top w:val="none" w:sz="0" w:space="0" w:color="auto"/>
            <w:left w:val="none" w:sz="0" w:space="0" w:color="auto"/>
            <w:bottom w:val="none" w:sz="0" w:space="0" w:color="auto"/>
            <w:right w:val="none" w:sz="0" w:space="0" w:color="auto"/>
          </w:divBdr>
        </w:div>
        <w:div w:id="1370492165">
          <w:marLeft w:val="720"/>
          <w:marRight w:val="0"/>
          <w:marTop w:val="67"/>
          <w:marBottom w:val="0"/>
          <w:divBdr>
            <w:top w:val="none" w:sz="0" w:space="0" w:color="auto"/>
            <w:left w:val="none" w:sz="0" w:space="0" w:color="auto"/>
            <w:bottom w:val="none" w:sz="0" w:space="0" w:color="auto"/>
            <w:right w:val="none" w:sz="0" w:space="0" w:color="auto"/>
          </w:divBdr>
        </w:div>
        <w:div w:id="1816288811">
          <w:marLeft w:val="1354"/>
          <w:marRight w:val="0"/>
          <w:marTop w:val="58"/>
          <w:marBottom w:val="0"/>
          <w:divBdr>
            <w:top w:val="none" w:sz="0" w:space="0" w:color="auto"/>
            <w:left w:val="none" w:sz="0" w:space="0" w:color="auto"/>
            <w:bottom w:val="none" w:sz="0" w:space="0" w:color="auto"/>
            <w:right w:val="none" w:sz="0" w:space="0" w:color="auto"/>
          </w:divBdr>
        </w:div>
        <w:div w:id="1688485719">
          <w:marLeft w:val="1354"/>
          <w:marRight w:val="0"/>
          <w:marTop w:val="58"/>
          <w:marBottom w:val="0"/>
          <w:divBdr>
            <w:top w:val="none" w:sz="0" w:space="0" w:color="auto"/>
            <w:left w:val="none" w:sz="0" w:space="0" w:color="auto"/>
            <w:bottom w:val="none" w:sz="0" w:space="0" w:color="auto"/>
            <w:right w:val="none" w:sz="0" w:space="0" w:color="auto"/>
          </w:divBdr>
        </w:div>
        <w:div w:id="134614868">
          <w:marLeft w:val="1354"/>
          <w:marRight w:val="0"/>
          <w:marTop w:val="58"/>
          <w:marBottom w:val="240"/>
          <w:divBdr>
            <w:top w:val="none" w:sz="0" w:space="0" w:color="auto"/>
            <w:left w:val="none" w:sz="0" w:space="0" w:color="auto"/>
            <w:bottom w:val="none" w:sz="0" w:space="0" w:color="auto"/>
            <w:right w:val="none" w:sz="0" w:space="0" w:color="auto"/>
          </w:divBdr>
        </w:div>
        <w:div w:id="613558966">
          <w:marLeft w:val="720"/>
          <w:marRight w:val="0"/>
          <w:marTop w:val="67"/>
          <w:marBottom w:val="0"/>
          <w:divBdr>
            <w:top w:val="none" w:sz="0" w:space="0" w:color="auto"/>
            <w:left w:val="none" w:sz="0" w:space="0" w:color="auto"/>
            <w:bottom w:val="none" w:sz="0" w:space="0" w:color="auto"/>
            <w:right w:val="none" w:sz="0" w:space="0" w:color="auto"/>
          </w:divBdr>
        </w:div>
        <w:div w:id="337970962">
          <w:marLeft w:val="1354"/>
          <w:marRight w:val="0"/>
          <w:marTop w:val="58"/>
          <w:marBottom w:val="0"/>
          <w:divBdr>
            <w:top w:val="none" w:sz="0" w:space="0" w:color="auto"/>
            <w:left w:val="none" w:sz="0" w:space="0" w:color="auto"/>
            <w:bottom w:val="none" w:sz="0" w:space="0" w:color="auto"/>
            <w:right w:val="none" w:sz="0" w:space="0" w:color="auto"/>
          </w:divBdr>
        </w:div>
        <w:div w:id="276719715">
          <w:marLeft w:val="1354"/>
          <w:marRight w:val="0"/>
          <w:marTop w:val="58"/>
          <w:marBottom w:val="240"/>
          <w:divBdr>
            <w:top w:val="none" w:sz="0" w:space="0" w:color="auto"/>
            <w:left w:val="none" w:sz="0" w:space="0" w:color="auto"/>
            <w:bottom w:val="none" w:sz="0" w:space="0" w:color="auto"/>
            <w:right w:val="none" w:sz="0" w:space="0" w:color="auto"/>
          </w:divBdr>
        </w:div>
        <w:div w:id="81268212">
          <w:marLeft w:val="720"/>
          <w:marRight w:val="0"/>
          <w:marTop w:val="67"/>
          <w:marBottom w:val="0"/>
          <w:divBdr>
            <w:top w:val="none" w:sz="0" w:space="0" w:color="auto"/>
            <w:left w:val="none" w:sz="0" w:space="0" w:color="auto"/>
            <w:bottom w:val="none" w:sz="0" w:space="0" w:color="auto"/>
            <w:right w:val="none" w:sz="0" w:space="0" w:color="auto"/>
          </w:divBdr>
        </w:div>
        <w:div w:id="189997960">
          <w:marLeft w:val="1354"/>
          <w:marRight w:val="0"/>
          <w:marTop w:val="58"/>
          <w:marBottom w:val="0"/>
          <w:divBdr>
            <w:top w:val="none" w:sz="0" w:space="0" w:color="auto"/>
            <w:left w:val="none" w:sz="0" w:space="0" w:color="auto"/>
            <w:bottom w:val="none" w:sz="0" w:space="0" w:color="auto"/>
            <w:right w:val="none" w:sz="0" w:space="0" w:color="auto"/>
          </w:divBdr>
        </w:div>
        <w:div w:id="1012757564">
          <w:marLeft w:val="1354"/>
          <w:marRight w:val="0"/>
          <w:marTop w:val="58"/>
          <w:marBottom w:val="120"/>
          <w:divBdr>
            <w:top w:val="none" w:sz="0" w:space="0" w:color="auto"/>
            <w:left w:val="none" w:sz="0" w:space="0" w:color="auto"/>
            <w:bottom w:val="none" w:sz="0" w:space="0" w:color="auto"/>
            <w:right w:val="none" w:sz="0" w:space="0" w:color="auto"/>
          </w:divBdr>
        </w:div>
      </w:divsChild>
    </w:div>
    <w:div w:id="1283419079">
      <w:bodyDiv w:val="1"/>
      <w:marLeft w:val="0"/>
      <w:marRight w:val="0"/>
      <w:marTop w:val="0"/>
      <w:marBottom w:val="0"/>
      <w:divBdr>
        <w:top w:val="none" w:sz="0" w:space="0" w:color="auto"/>
        <w:left w:val="none" w:sz="0" w:space="0" w:color="auto"/>
        <w:bottom w:val="none" w:sz="0" w:space="0" w:color="auto"/>
        <w:right w:val="none" w:sz="0" w:space="0" w:color="auto"/>
      </w:divBdr>
    </w:div>
    <w:div w:id="1295675446">
      <w:bodyDiv w:val="1"/>
      <w:marLeft w:val="0"/>
      <w:marRight w:val="0"/>
      <w:marTop w:val="0"/>
      <w:marBottom w:val="0"/>
      <w:divBdr>
        <w:top w:val="none" w:sz="0" w:space="0" w:color="auto"/>
        <w:left w:val="none" w:sz="0" w:space="0" w:color="auto"/>
        <w:bottom w:val="none" w:sz="0" w:space="0" w:color="auto"/>
        <w:right w:val="none" w:sz="0" w:space="0" w:color="auto"/>
      </w:divBdr>
    </w:div>
    <w:div w:id="1321695269">
      <w:bodyDiv w:val="1"/>
      <w:marLeft w:val="0"/>
      <w:marRight w:val="0"/>
      <w:marTop w:val="0"/>
      <w:marBottom w:val="0"/>
      <w:divBdr>
        <w:top w:val="none" w:sz="0" w:space="0" w:color="auto"/>
        <w:left w:val="none" w:sz="0" w:space="0" w:color="auto"/>
        <w:bottom w:val="none" w:sz="0" w:space="0" w:color="auto"/>
        <w:right w:val="none" w:sz="0" w:space="0" w:color="auto"/>
      </w:divBdr>
    </w:div>
    <w:div w:id="1333797417">
      <w:bodyDiv w:val="1"/>
      <w:marLeft w:val="0"/>
      <w:marRight w:val="0"/>
      <w:marTop w:val="0"/>
      <w:marBottom w:val="0"/>
      <w:divBdr>
        <w:top w:val="none" w:sz="0" w:space="0" w:color="auto"/>
        <w:left w:val="none" w:sz="0" w:space="0" w:color="auto"/>
        <w:bottom w:val="none" w:sz="0" w:space="0" w:color="auto"/>
        <w:right w:val="none" w:sz="0" w:space="0" w:color="auto"/>
      </w:divBdr>
      <w:divsChild>
        <w:div w:id="589585770">
          <w:marLeft w:val="0"/>
          <w:marRight w:val="0"/>
          <w:marTop w:val="0"/>
          <w:marBottom w:val="0"/>
          <w:divBdr>
            <w:top w:val="none" w:sz="0" w:space="0" w:color="auto"/>
            <w:left w:val="none" w:sz="0" w:space="0" w:color="auto"/>
            <w:bottom w:val="none" w:sz="0" w:space="0" w:color="auto"/>
            <w:right w:val="none" w:sz="0" w:space="0" w:color="auto"/>
          </w:divBdr>
          <w:divsChild>
            <w:div w:id="164252391">
              <w:marLeft w:val="0"/>
              <w:marRight w:val="0"/>
              <w:marTop w:val="0"/>
              <w:marBottom w:val="0"/>
              <w:divBdr>
                <w:top w:val="none" w:sz="0" w:space="0" w:color="auto"/>
                <w:left w:val="none" w:sz="0" w:space="0" w:color="auto"/>
                <w:bottom w:val="none" w:sz="0" w:space="0" w:color="auto"/>
                <w:right w:val="none" w:sz="0" w:space="0" w:color="auto"/>
              </w:divBdr>
              <w:divsChild>
                <w:div w:id="1446265007">
                  <w:marLeft w:val="0"/>
                  <w:marRight w:val="0"/>
                  <w:marTop w:val="0"/>
                  <w:marBottom w:val="0"/>
                  <w:divBdr>
                    <w:top w:val="none" w:sz="0" w:space="0" w:color="auto"/>
                    <w:left w:val="none" w:sz="0" w:space="0" w:color="auto"/>
                    <w:bottom w:val="none" w:sz="0" w:space="0" w:color="auto"/>
                    <w:right w:val="none" w:sz="0" w:space="0" w:color="auto"/>
                  </w:divBdr>
                  <w:divsChild>
                    <w:div w:id="941260314">
                      <w:marLeft w:val="0"/>
                      <w:marRight w:val="0"/>
                      <w:marTop w:val="0"/>
                      <w:marBottom w:val="0"/>
                      <w:divBdr>
                        <w:top w:val="none" w:sz="0" w:space="0" w:color="auto"/>
                        <w:left w:val="none" w:sz="0" w:space="0" w:color="auto"/>
                        <w:bottom w:val="none" w:sz="0" w:space="0" w:color="auto"/>
                        <w:right w:val="none" w:sz="0" w:space="0" w:color="auto"/>
                      </w:divBdr>
                      <w:divsChild>
                        <w:div w:id="1162431601">
                          <w:marLeft w:val="0"/>
                          <w:marRight w:val="0"/>
                          <w:marTop w:val="45"/>
                          <w:marBottom w:val="0"/>
                          <w:divBdr>
                            <w:top w:val="none" w:sz="0" w:space="0" w:color="auto"/>
                            <w:left w:val="none" w:sz="0" w:space="0" w:color="auto"/>
                            <w:bottom w:val="none" w:sz="0" w:space="0" w:color="auto"/>
                            <w:right w:val="none" w:sz="0" w:space="0" w:color="auto"/>
                          </w:divBdr>
                          <w:divsChild>
                            <w:div w:id="1760521759">
                              <w:marLeft w:val="0"/>
                              <w:marRight w:val="0"/>
                              <w:marTop w:val="0"/>
                              <w:marBottom w:val="0"/>
                              <w:divBdr>
                                <w:top w:val="none" w:sz="0" w:space="0" w:color="auto"/>
                                <w:left w:val="none" w:sz="0" w:space="0" w:color="auto"/>
                                <w:bottom w:val="none" w:sz="0" w:space="0" w:color="auto"/>
                                <w:right w:val="none" w:sz="0" w:space="0" w:color="auto"/>
                              </w:divBdr>
                              <w:divsChild>
                                <w:div w:id="1362780520">
                                  <w:marLeft w:val="2070"/>
                                  <w:marRight w:val="3810"/>
                                  <w:marTop w:val="0"/>
                                  <w:marBottom w:val="0"/>
                                  <w:divBdr>
                                    <w:top w:val="none" w:sz="0" w:space="0" w:color="auto"/>
                                    <w:left w:val="none" w:sz="0" w:space="0" w:color="auto"/>
                                    <w:bottom w:val="none" w:sz="0" w:space="0" w:color="auto"/>
                                    <w:right w:val="none" w:sz="0" w:space="0" w:color="auto"/>
                                  </w:divBdr>
                                  <w:divsChild>
                                    <w:div w:id="1237132116">
                                      <w:marLeft w:val="0"/>
                                      <w:marRight w:val="0"/>
                                      <w:marTop w:val="0"/>
                                      <w:marBottom w:val="0"/>
                                      <w:divBdr>
                                        <w:top w:val="none" w:sz="0" w:space="0" w:color="auto"/>
                                        <w:left w:val="none" w:sz="0" w:space="0" w:color="auto"/>
                                        <w:bottom w:val="none" w:sz="0" w:space="0" w:color="auto"/>
                                        <w:right w:val="none" w:sz="0" w:space="0" w:color="auto"/>
                                      </w:divBdr>
                                      <w:divsChild>
                                        <w:div w:id="374933626">
                                          <w:marLeft w:val="0"/>
                                          <w:marRight w:val="0"/>
                                          <w:marTop w:val="0"/>
                                          <w:marBottom w:val="0"/>
                                          <w:divBdr>
                                            <w:top w:val="none" w:sz="0" w:space="0" w:color="auto"/>
                                            <w:left w:val="none" w:sz="0" w:space="0" w:color="auto"/>
                                            <w:bottom w:val="none" w:sz="0" w:space="0" w:color="auto"/>
                                            <w:right w:val="none" w:sz="0" w:space="0" w:color="auto"/>
                                          </w:divBdr>
                                          <w:divsChild>
                                            <w:div w:id="943151825">
                                              <w:marLeft w:val="0"/>
                                              <w:marRight w:val="0"/>
                                              <w:marTop w:val="0"/>
                                              <w:marBottom w:val="0"/>
                                              <w:divBdr>
                                                <w:top w:val="none" w:sz="0" w:space="0" w:color="auto"/>
                                                <w:left w:val="none" w:sz="0" w:space="0" w:color="auto"/>
                                                <w:bottom w:val="none" w:sz="0" w:space="0" w:color="auto"/>
                                                <w:right w:val="none" w:sz="0" w:space="0" w:color="auto"/>
                                              </w:divBdr>
                                              <w:divsChild>
                                                <w:div w:id="1945113646">
                                                  <w:marLeft w:val="0"/>
                                                  <w:marRight w:val="0"/>
                                                  <w:marTop w:val="0"/>
                                                  <w:marBottom w:val="0"/>
                                                  <w:divBdr>
                                                    <w:top w:val="none" w:sz="0" w:space="0" w:color="auto"/>
                                                    <w:left w:val="none" w:sz="0" w:space="0" w:color="auto"/>
                                                    <w:bottom w:val="none" w:sz="0" w:space="0" w:color="auto"/>
                                                    <w:right w:val="none" w:sz="0" w:space="0" w:color="auto"/>
                                                  </w:divBdr>
                                                  <w:divsChild>
                                                    <w:div w:id="411777538">
                                                      <w:marLeft w:val="0"/>
                                                      <w:marRight w:val="0"/>
                                                      <w:marTop w:val="0"/>
                                                      <w:marBottom w:val="0"/>
                                                      <w:divBdr>
                                                        <w:top w:val="none" w:sz="0" w:space="0" w:color="auto"/>
                                                        <w:left w:val="none" w:sz="0" w:space="0" w:color="auto"/>
                                                        <w:bottom w:val="none" w:sz="0" w:space="0" w:color="auto"/>
                                                        <w:right w:val="none" w:sz="0" w:space="0" w:color="auto"/>
                                                      </w:divBdr>
                                                      <w:divsChild>
                                                        <w:div w:id="2086798053">
                                                          <w:marLeft w:val="0"/>
                                                          <w:marRight w:val="0"/>
                                                          <w:marTop w:val="0"/>
                                                          <w:marBottom w:val="0"/>
                                                          <w:divBdr>
                                                            <w:top w:val="none" w:sz="0" w:space="0" w:color="auto"/>
                                                            <w:left w:val="none" w:sz="0" w:space="0" w:color="auto"/>
                                                            <w:bottom w:val="none" w:sz="0" w:space="0" w:color="auto"/>
                                                            <w:right w:val="none" w:sz="0" w:space="0" w:color="auto"/>
                                                          </w:divBdr>
                                                          <w:divsChild>
                                                            <w:div w:id="1914504045">
                                                              <w:marLeft w:val="0"/>
                                                              <w:marRight w:val="0"/>
                                                              <w:marTop w:val="0"/>
                                                              <w:marBottom w:val="0"/>
                                                              <w:divBdr>
                                                                <w:top w:val="none" w:sz="0" w:space="0" w:color="auto"/>
                                                                <w:left w:val="none" w:sz="0" w:space="0" w:color="auto"/>
                                                                <w:bottom w:val="none" w:sz="0" w:space="0" w:color="auto"/>
                                                                <w:right w:val="none" w:sz="0" w:space="0" w:color="auto"/>
                                                              </w:divBdr>
                                                              <w:divsChild>
                                                                <w:div w:id="1692956113">
                                                                  <w:marLeft w:val="0"/>
                                                                  <w:marRight w:val="0"/>
                                                                  <w:marTop w:val="0"/>
                                                                  <w:marBottom w:val="0"/>
                                                                  <w:divBdr>
                                                                    <w:top w:val="none" w:sz="0" w:space="0" w:color="auto"/>
                                                                    <w:left w:val="none" w:sz="0" w:space="0" w:color="auto"/>
                                                                    <w:bottom w:val="none" w:sz="0" w:space="0" w:color="auto"/>
                                                                    <w:right w:val="none" w:sz="0" w:space="0" w:color="auto"/>
                                                                  </w:divBdr>
                                                                  <w:divsChild>
                                                                    <w:div w:id="683167348">
                                                                      <w:marLeft w:val="0"/>
                                                                      <w:marRight w:val="0"/>
                                                                      <w:marTop w:val="0"/>
                                                                      <w:marBottom w:val="0"/>
                                                                      <w:divBdr>
                                                                        <w:top w:val="none" w:sz="0" w:space="0" w:color="auto"/>
                                                                        <w:left w:val="none" w:sz="0" w:space="0" w:color="auto"/>
                                                                        <w:bottom w:val="none" w:sz="0" w:space="0" w:color="auto"/>
                                                                        <w:right w:val="none" w:sz="0" w:space="0" w:color="auto"/>
                                                                      </w:divBdr>
                                                                      <w:divsChild>
                                                                        <w:div w:id="292253458">
                                                                          <w:marLeft w:val="0"/>
                                                                          <w:marRight w:val="0"/>
                                                                          <w:marTop w:val="0"/>
                                                                          <w:marBottom w:val="0"/>
                                                                          <w:divBdr>
                                                                            <w:top w:val="none" w:sz="0" w:space="0" w:color="auto"/>
                                                                            <w:left w:val="none" w:sz="0" w:space="0" w:color="auto"/>
                                                                            <w:bottom w:val="none" w:sz="0" w:space="0" w:color="auto"/>
                                                                            <w:right w:val="none" w:sz="0" w:space="0" w:color="auto"/>
                                                                          </w:divBdr>
                                                                          <w:divsChild>
                                                                            <w:div w:id="20072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71600">
      <w:bodyDiv w:val="1"/>
      <w:marLeft w:val="0"/>
      <w:marRight w:val="0"/>
      <w:marTop w:val="0"/>
      <w:marBottom w:val="0"/>
      <w:divBdr>
        <w:top w:val="none" w:sz="0" w:space="0" w:color="auto"/>
        <w:left w:val="none" w:sz="0" w:space="0" w:color="auto"/>
        <w:bottom w:val="none" w:sz="0" w:space="0" w:color="auto"/>
        <w:right w:val="none" w:sz="0" w:space="0" w:color="auto"/>
      </w:divBdr>
    </w:div>
    <w:div w:id="1376394652">
      <w:bodyDiv w:val="1"/>
      <w:marLeft w:val="0"/>
      <w:marRight w:val="0"/>
      <w:marTop w:val="0"/>
      <w:marBottom w:val="0"/>
      <w:divBdr>
        <w:top w:val="none" w:sz="0" w:space="0" w:color="auto"/>
        <w:left w:val="none" w:sz="0" w:space="0" w:color="auto"/>
        <w:bottom w:val="none" w:sz="0" w:space="0" w:color="auto"/>
        <w:right w:val="none" w:sz="0" w:space="0" w:color="auto"/>
      </w:divBdr>
    </w:div>
    <w:div w:id="1401711722">
      <w:bodyDiv w:val="1"/>
      <w:marLeft w:val="0"/>
      <w:marRight w:val="0"/>
      <w:marTop w:val="0"/>
      <w:marBottom w:val="0"/>
      <w:divBdr>
        <w:top w:val="none" w:sz="0" w:space="0" w:color="auto"/>
        <w:left w:val="none" w:sz="0" w:space="0" w:color="auto"/>
        <w:bottom w:val="none" w:sz="0" w:space="0" w:color="auto"/>
        <w:right w:val="none" w:sz="0" w:space="0" w:color="auto"/>
      </w:divBdr>
    </w:div>
    <w:div w:id="1406411969">
      <w:bodyDiv w:val="1"/>
      <w:marLeft w:val="0"/>
      <w:marRight w:val="0"/>
      <w:marTop w:val="0"/>
      <w:marBottom w:val="0"/>
      <w:divBdr>
        <w:top w:val="none" w:sz="0" w:space="0" w:color="auto"/>
        <w:left w:val="none" w:sz="0" w:space="0" w:color="auto"/>
        <w:bottom w:val="none" w:sz="0" w:space="0" w:color="auto"/>
        <w:right w:val="none" w:sz="0" w:space="0" w:color="auto"/>
      </w:divBdr>
      <w:divsChild>
        <w:div w:id="1639453509">
          <w:marLeft w:val="115"/>
          <w:marRight w:val="0"/>
          <w:marTop w:val="86"/>
          <w:marBottom w:val="120"/>
          <w:divBdr>
            <w:top w:val="none" w:sz="0" w:space="0" w:color="auto"/>
            <w:left w:val="none" w:sz="0" w:space="0" w:color="auto"/>
            <w:bottom w:val="none" w:sz="0" w:space="0" w:color="auto"/>
            <w:right w:val="none" w:sz="0" w:space="0" w:color="auto"/>
          </w:divBdr>
        </w:div>
        <w:div w:id="920682187">
          <w:marLeft w:val="115"/>
          <w:marRight w:val="0"/>
          <w:marTop w:val="86"/>
          <w:marBottom w:val="120"/>
          <w:divBdr>
            <w:top w:val="none" w:sz="0" w:space="0" w:color="auto"/>
            <w:left w:val="none" w:sz="0" w:space="0" w:color="auto"/>
            <w:bottom w:val="none" w:sz="0" w:space="0" w:color="auto"/>
            <w:right w:val="none" w:sz="0" w:space="0" w:color="auto"/>
          </w:divBdr>
        </w:div>
        <w:div w:id="800538079">
          <w:marLeft w:val="115"/>
          <w:marRight w:val="0"/>
          <w:marTop w:val="86"/>
          <w:marBottom w:val="120"/>
          <w:divBdr>
            <w:top w:val="none" w:sz="0" w:space="0" w:color="auto"/>
            <w:left w:val="none" w:sz="0" w:space="0" w:color="auto"/>
            <w:bottom w:val="none" w:sz="0" w:space="0" w:color="auto"/>
            <w:right w:val="none" w:sz="0" w:space="0" w:color="auto"/>
          </w:divBdr>
        </w:div>
        <w:div w:id="1151289604">
          <w:marLeft w:val="115"/>
          <w:marRight w:val="0"/>
          <w:marTop w:val="86"/>
          <w:marBottom w:val="120"/>
          <w:divBdr>
            <w:top w:val="none" w:sz="0" w:space="0" w:color="auto"/>
            <w:left w:val="none" w:sz="0" w:space="0" w:color="auto"/>
            <w:bottom w:val="none" w:sz="0" w:space="0" w:color="auto"/>
            <w:right w:val="none" w:sz="0" w:space="0" w:color="auto"/>
          </w:divBdr>
        </w:div>
        <w:div w:id="1497527913">
          <w:marLeft w:val="115"/>
          <w:marRight w:val="0"/>
          <w:marTop w:val="86"/>
          <w:marBottom w:val="0"/>
          <w:divBdr>
            <w:top w:val="none" w:sz="0" w:space="0" w:color="auto"/>
            <w:left w:val="none" w:sz="0" w:space="0" w:color="auto"/>
            <w:bottom w:val="none" w:sz="0" w:space="0" w:color="auto"/>
            <w:right w:val="none" w:sz="0" w:space="0" w:color="auto"/>
          </w:divBdr>
        </w:div>
      </w:divsChild>
    </w:div>
    <w:div w:id="1418557717">
      <w:bodyDiv w:val="1"/>
      <w:marLeft w:val="0"/>
      <w:marRight w:val="0"/>
      <w:marTop w:val="0"/>
      <w:marBottom w:val="0"/>
      <w:divBdr>
        <w:top w:val="none" w:sz="0" w:space="0" w:color="auto"/>
        <w:left w:val="none" w:sz="0" w:space="0" w:color="auto"/>
        <w:bottom w:val="none" w:sz="0" w:space="0" w:color="auto"/>
        <w:right w:val="none" w:sz="0" w:space="0" w:color="auto"/>
      </w:divBdr>
      <w:divsChild>
        <w:div w:id="962736340">
          <w:marLeft w:val="0"/>
          <w:marRight w:val="0"/>
          <w:marTop w:val="0"/>
          <w:marBottom w:val="0"/>
          <w:divBdr>
            <w:top w:val="none" w:sz="0" w:space="0" w:color="auto"/>
            <w:left w:val="none" w:sz="0" w:space="0" w:color="auto"/>
            <w:bottom w:val="none" w:sz="0" w:space="0" w:color="auto"/>
            <w:right w:val="none" w:sz="0" w:space="0" w:color="auto"/>
          </w:divBdr>
          <w:divsChild>
            <w:div w:id="105781431">
              <w:marLeft w:val="90"/>
              <w:marRight w:val="90"/>
              <w:marTop w:val="0"/>
              <w:marBottom w:val="0"/>
              <w:divBdr>
                <w:top w:val="none" w:sz="0" w:space="0" w:color="auto"/>
                <w:left w:val="none" w:sz="0" w:space="0" w:color="auto"/>
                <w:bottom w:val="none" w:sz="0" w:space="0" w:color="auto"/>
                <w:right w:val="none" w:sz="0" w:space="0" w:color="auto"/>
              </w:divBdr>
              <w:divsChild>
                <w:div w:id="1028674879">
                  <w:marLeft w:val="0"/>
                  <w:marRight w:val="0"/>
                  <w:marTop w:val="0"/>
                  <w:marBottom w:val="0"/>
                  <w:divBdr>
                    <w:top w:val="none" w:sz="0" w:space="0" w:color="auto"/>
                    <w:left w:val="none" w:sz="0" w:space="0" w:color="auto"/>
                    <w:bottom w:val="none" w:sz="0" w:space="0" w:color="auto"/>
                    <w:right w:val="none" w:sz="0" w:space="0" w:color="auto"/>
                  </w:divBdr>
                  <w:divsChild>
                    <w:div w:id="593712372">
                      <w:marLeft w:val="525"/>
                      <w:marRight w:val="525"/>
                      <w:marTop w:val="375"/>
                      <w:marBottom w:val="525"/>
                      <w:divBdr>
                        <w:top w:val="none" w:sz="0" w:space="0" w:color="auto"/>
                        <w:left w:val="none" w:sz="0" w:space="0" w:color="auto"/>
                        <w:bottom w:val="none" w:sz="0" w:space="0" w:color="auto"/>
                        <w:right w:val="none" w:sz="0" w:space="0" w:color="auto"/>
                      </w:divBdr>
                      <w:divsChild>
                        <w:div w:id="344869530">
                          <w:marLeft w:val="0"/>
                          <w:marRight w:val="0"/>
                          <w:marTop w:val="0"/>
                          <w:marBottom w:val="0"/>
                          <w:divBdr>
                            <w:top w:val="none" w:sz="0" w:space="0" w:color="auto"/>
                            <w:left w:val="none" w:sz="0" w:space="0" w:color="auto"/>
                            <w:bottom w:val="none" w:sz="0" w:space="0" w:color="auto"/>
                            <w:right w:val="none" w:sz="0" w:space="0" w:color="auto"/>
                          </w:divBdr>
                          <w:divsChild>
                            <w:div w:id="1091196010">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1443915559">
      <w:bodyDiv w:val="1"/>
      <w:marLeft w:val="0"/>
      <w:marRight w:val="0"/>
      <w:marTop w:val="0"/>
      <w:marBottom w:val="0"/>
      <w:divBdr>
        <w:top w:val="none" w:sz="0" w:space="0" w:color="auto"/>
        <w:left w:val="none" w:sz="0" w:space="0" w:color="auto"/>
        <w:bottom w:val="none" w:sz="0" w:space="0" w:color="auto"/>
        <w:right w:val="none" w:sz="0" w:space="0" w:color="auto"/>
      </w:divBdr>
    </w:div>
    <w:div w:id="1451823118">
      <w:bodyDiv w:val="1"/>
      <w:marLeft w:val="0"/>
      <w:marRight w:val="0"/>
      <w:marTop w:val="0"/>
      <w:marBottom w:val="0"/>
      <w:divBdr>
        <w:top w:val="none" w:sz="0" w:space="0" w:color="auto"/>
        <w:left w:val="none" w:sz="0" w:space="0" w:color="auto"/>
        <w:bottom w:val="none" w:sz="0" w:space="0" w:color="auto"/>
        <w:right w:val="none" w:sz="0" w:space="0" w:color="auto"/>
      </w:divBdr>
    </w:div>
    <w:div w:id="1458645012">
      <w:bodyDiv w:val="1"/>
      <w:marLeft w:val="0"/>
      <w:marRight w:val="0"/>
      <w:marTop w:val="0"/>
      <w:marBottom w:val="0"/>
      <w:divBdr>
        <w:top w:val="none" w:sz="0" w:space="0" w:color="auto"/>
        <w:left w:val="none" w:sz="0" w:space="0" w:color="auto"/>
        <w:bottom w:val="none" w:sz="0" w:space="0" w:color="auto"/>
        <w:right w:val="none" w:sz="0" w:space="0" w:color="auto"/>
      </w:divBdr>
      <w:divsChild>
        <w:div w:id="210923887">
          <w:marLeft w:val="0"/>
          <w:marRight w:val="0"/>
          <w:marTop w:val="0"/>
          <w:marBottom w:val="0"/>
          <w:divBdr>
            <w:top w:val="single" w:sz="6" w:space="0" w:color="D0D0D0"/>
            <w:left w:val="single" w:sz="6" w:space="0" w:color="D0D0D0"/>
            <w:bottom w:val="single" w:sz="6" w:space="0" w:color="D0D0D0"/>
            <w:right w:val="single" w:sz="6" w:space="0" w:color="D0D0D0"/>
          </w:divBdr>
          <w:divsChild>
            <w:div w:id="1640306837">
              <w:marLeft w:val="0"/>
              <w:marRight w:val="0"/>
              <w:marTop w:val="0"/>
              <w:marBottom w:val="0"/>
              <w:divBdr>
                <w:top w:val="none" w:sz="0" w:space="0" w:color="auto"/>
                <w:left w:val="none" w:sz="0" w:space="0" w:color="auto"/>
                <w:bottom w:val="none" w:sz="0" w:space="0" w:color="auto"/>
                <w:right w:val="none" w:sz="0" w:space="0" w:color="auto"/>
              </w:divBdr>
              <w:divsChild>
                <w:div w:id="866139279">
                  <w:marLeft w:val="0"/>
                  <w:marRight w:val="0"/>
                  <w:marTop w:val="0"/>
                  <w:marBottom w:val="0"/>
                  <w:divBdr>
                    <w:top w:val="none" w:sz="0" w:space="0" w:color="auto"/>
                    <w:left w:val="none" w:sz="0" w:space="0" w:color="auto"/>
                    <w:bottom w:val="none" w:sz="0" w:space="0" w:color="auto"/>
                    <w:right w:val="none" w:sz="0" w:space="0" w:color="auto"/>
                  </w:divBdr>
                  <w:divsChild>
                    <w:div w:id="1151362153">
                      <w:marLeft w:val="0"/>
                      <w:marRight w:val="0"/>
                      <w:marTop w:val="0"/>
                      <w:marBottom w:val="0"/>
                      <w:divBdr>
                        <w:top w:val="none" w:sz="0" w:space="0" w:color="auto"/>
                        <w:left w:val="none" w:sz="0" w:space="0" w:color="auto"/>
                        <w:bottom w:val="none" w:sz="0" w:space="0" w:color="auto"/>
                        <w:right w:val="none" w:sz="0" w:space="0" w:color="auto"/>
                      </w:divBdr>
                      <w:divsChild>
                        <w:div w:id="1576817882">
                          <w:marLeft w:val="0"/>
                          <w:marRight w:val="0"/>
                          <w:marTop w:val="150"/>
                          <w:marBottom w:val="0"/>
                          <w:divBdr>
                            <w:top w:val="none" w:sz="0" w:space="0" w:color="auto"/>
                            <w:left w:val="none" w:sz="0" w:space="0" w:color="auto"/>
                            <w:bottom w:val="none" w:sz="0" w:space="0" w:color="auto"/>
                            <w:right w:val="none" w:sz="0" w:space="0" w:color="auto"/>
                          </w:divBdr>
                          <w:divsChild>
                            <w:div w:id="1143888915">
                              <w:marLeft w:val="0"/>
                              <w:marRight w:val="0"/>
                              <w:marTop w:val="0"/>
                              <w:marBottom w:val="0"/>
                              <w:divBdr>
                                <w:top w:val="none" w:sz="0" w:space="0" w:color="auto"/>
                                <w:left w:val="none" w:sz="0" w:space="0" w:color="auto"/>
                                <w:bottom w:val="none" w:sz="0" w:space="0" w:color="auto"/>
                                <w:right w:val="none" w:sz="0" w:space="0" w:color="auto"/>
                              </w:divBdr>
                              <w:divsChild>
                                <w:div w:id="12192310">
                                  <w:marLeft w:val="0"/>
                                  <w:marRight w:val="0"/>
                                  <w:marTop w:val="75"/>
                                  <w:marBottom w:val="0"/>
                                  <w:divBdr>
                                    <w:top w:val="none" w:sz="0" w:space="0" w:color="auto"/>
                                    <w:left w:val="none" w:sz="0" w:space="0" w:color="auto"/>
                                    <w:bottom w:val="none" w:sz="0" w:space="0" w:color="auto"/>
                                    <w:right w:val="none" w:sz="0" w:space="0" w:color="auto"/>
                                  </w:divBdr>
                                </w:div>
                                <w:div w:id="540898638">
                                  <w:marLeft w:val="0"/>
                                  <w:marRight w:val="0"/>
                                  <w:marTop w:val="75"/>
                                  <w:marBottom w:val="0"/>
                                  <w:divBdr>
                                    <w:top w:val="none" w:sz="0" w:space="0" w:color="auto"/>
                                    <w:left w:val="none" w:sz="0" w:space="0" w:color="auto"/>
                                    <w:bottom w:val="none" w:sz="0" w:space="0" w:color="auto"/>
                                    <w:right w:val="none" w:sz="0" w:space="0" w:color="auto"/>
                                  </w:divBdr>
                                </w:div>
                                <w:div w:id="654263487">
                                  <w:marLeft w:val="0"/>
                                  <w:marRight w:val="0"/>
                                  <w:marTop w:val="0"/>
                                  <w:marBottom w:val="0"/>
                                  <w:divBdr>
                                    <w:top w:val="none" w:sz="0" w:space="0" w:color="auto"/>
                                    <w:left w:val="none" w:sz="0" w:space="0" w:color="auto"/>
                                    <w:bottom w:val="none" w:sz="0" w:space="0" w:color="auto"/>
                                    <w:right w:val="none" w:sz="0" w:space="0" w:color="auto"/>
                                  </w:divBdr>
                                </w:div>
                                <w:div w:id="1331640019">
                                  <w:marLeft w:val="0"/>
                                  <w:marRight w:val="0"/>
                                  <w:marTop w:val="75"/>
                                  <w:marBottom w:val="0"/>
                                  <w:divBdr>
                                    <w:top w:val="none" w:sz="0" w:space="0" w:color="auto"/>
                                    <w:left w:val="none" w:sz="0" w:space="0" w:color="auto"/>
                                    <w:bottom w:val="none" w:sz="0" w:space="0" w:color="auto"/>
                                    <w:right w:val="none" w:sz="0" w:space="0" w:color="auto"/>
                                  </w:divBdr>
                                </w:div>
                                <w:div w:id="1681590052">
                                  <w:marLeft w:val="0"/>
                                  <w:marRight w:val="0"/>
                                  <w:marTop w:val="75"/>
                                  <w:marBottom w:val="0"/>
                                  <w:divBdr>
                                    <w:top w:val="none" w:sz="0" w:space="0" w:color="auto"/>
                                    <w:left w:val="none" w:sz="0" w:space="0" w:color="auto"/>
                                    <w:bottom w:val="none" w:sz="0" w:space="0" w:color="auto"/>
                                    <w:right w:val="none" w:sz="0" w:space="0" w:color="auto"/>
                                  </w:divBdr>
                                </w:div>
                                <w:div w:id="2047019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47156">
      <w:bodyDiv w:val="1"/>
      <w:marLeft w:val="0"/>
      <w:marRight w:val="0"/>
      <w:marTop w:val="0"/>
      <w:marBottom w:val="0"/>
      <w:divBdr>
        <w:top w:val="none" w:sz="0" w:space="0" w:color="auto"/>
        <w:left w:val="none" w:sz="0" w:space="0" w:color="auto"/>
        <w:bottom w:val="none" w:sz="0" w:space="0" w:color="auto"/>
        <w:right w:val="none" w:sz="0" w:space="0" w:color="auto"/>
      </w:divBdr>
    </w:div>
    <w:div w:id="1483767728">
      <w:bodyDiv w:val="1"/>
      <w:marLeft w:val="0"/>
      <w:marRight w:val="0"/>
      <w:marTop w:val="0"/>
      <w:marBottom w:val="0"/>
      <w:divBdr>
        <w:top w:val="none" w:sz="0" w:space="0" w:color="auto"/>
        <w:left w:val="none" w:sz="0" w:space="0" w:color="auto"/>
        <w:bottom w:val="none" w:sz="0" w:space="0" w:color="auto"/>
        <w:right w:val="none" w:sz="0" w:space="0" w:color="auto"/>
      </w:divBdr>
      <w:divsChild>
        <w:div w:id="1698697716">
          <w:marLeft w:val="547"/>
          <w:marRight w:val="0"/>
          <w:marTop w:val="77"/>
          <w:marBottom w:val="0"/>
          <w:divBdr>
            <w:top w:val="none" w:sz="0" w:space="0" w:color="auto"/>
            <w:left w:val="none" w:sz="0" w:space="0" w:color="auto"/>
            <w:bottom w:val="none" w:sz="0" w:space="0" w:color="auto"/>
            <w:right w:val="none" w:sz="0" w:space="0" w:color="auto"/>
          </w:divBdr>
        </w:div>
      </w:divsChild>
    </w:div>
    <w:div w:id="1489512458">
      <w:bodyDiv w:val="1"/>
      <w:marLeft w:val="0"/>
      <w:marRight w:val="0"/>
      <w:marTop w:val="0"/>
      <w:marBottom w:val="0"/>
      <w:divBdr>
        <w:top w:val="none" w:sz="0" w:space="0" w:color="auto"/>
        <w:left w:val="none" w:sz="0" w:space="0" w:color="auto"/>
        <w:bottom w:val="none" w:sz="0" w:space="0" w:color="auto"/>
        <w:right w:val="none" w:sz="0" w:space="0" w:color="auto"/>
      </w:divBdr>
    </w:div>
    <w:div w:id="1570530479">
      <w:bodyDiv w:val="1"/>
      <w:marLeft w:val="0"/>
      <w:marRight w:val="0"/>
      <w:marTop w:val="0"/>
      <w:marBottom w:val="0"/>
      <w:divBdr>
        <w:top w:val="none" w:sz="0" w:space="0" w:color="auto"/>
        <w:left w:val="none" w:sz="0" w:space="0" w:color="auto"/>
        <w:bottom w:val="none" w:sz="0" w:space="0" w:color="auto"/>
        <w:right w:val="none" w:sz="0" w:space="0" w:color="auto"/>
      </w:divBdr>
    </w:div>
    <w:div w:id="1586644375">
      <w:bodyDiv w:val="1"/>
      <w:marLeft w:val="0"/>
      <w:marRight w:val="0"/>
      <w:marTop w:val="0"/>
      <w:marBottom w:val="0"/>
      <w:divBdr>
        <w:top w:val="none" w:sz="0" w:space="0" w:color="auto"/>
        <w:left w:val="none" w:sz="0" w:space="0" w:color="auto"/>
        <w:bottom w:val="none" w:sz="0" w:space="0" w:color="auto"/>
        <w:right w:val="none" w:sz="0" w:space="0" w:color="auto"/>
      </w:divBdr>
    </w:div>
    <w:div w:id="1601911655">
      <w:bodyDiv w:val="1"/>
      <w:marLeft w:val="0"/>
      <w:marRight w:val="0"/>
      <w:marTop w:val="0"/>
      <w:marBottom w:val="0"/>
      <w:divBdr>
        <w:top w:val="none" w:sz="0" w:space="0" w:color="auto"/>
        <w:left w:val="none" w:sz="0" w:space="0" w:color="auto"/>
        <w:bottom w:val="none" w:sz="0" w:space="0" w:color="auto"/>
        <w:right w:val="none" w:sz="0" w:space="0" w:color="auto"/>
      </w:divBdr>
    </w:div>
    <w:div w:id="1615096067">
      <w:bodyDiv w:val="1"/>
      <w:marLeft w:val="0"/>
      <w:marRight w:val="0"/>
      <w:marTop w:val="0"/>
      <w:marBottom w:val="0"/>
      <w:divBdr>
        <w:top w:val="none" w:sz="0" w:space="0" w:color="auto"/>
        <w:left w:val="none" w:sz="0" w:space="0" w:color="auto"/>
        <w:bottom w:val="none" w:sz="0" w:space="0" w:color="auto"/>
        <w:right w:val="none" w:sz="0" w:space="0" w:color="auto"/>
      </w:divBdr>
    </w:div>
    <w:div w:id="1636183226">
      <w:bodyDiv w:val="1"/>
      <w:marLeft w:val="0"/>
      <w:marRight w:val="0"/>
      <w:marTop w:val="0"/>
      <w:marBottom w:val="0"/>
      <w:divBdr>
        <w:top w:val="none" w:sz="0" w:space="0" w:color="auto"/>
        <w:left w:val="none" w:sz="0" w:space="0" w:color="auto"/>
        <w:bottom w:val="none" w:sz="0" w:space="0" w:color="auto"/>
        <w:right w:val="none" w:sz="0" w:space="0" w:color="auto"/>
      </w:divBdr>
    </w:div>
    <w:div w:id="1663703251">
      <w:bodyDiv w:val="1"/>
      <w:marLeft w:val="0"/>
      <w:marRight w:val="0"/>
      <w:marTop w:val="0"/>
      <w:marBottom w:val="0"/>
      <w:divBdr>
        <w:top w:val="none" w:sz="0" w:space="0" w:color="auto"/>
        <w:left w:val="none" w:sz="0" w:space="0" w:color="auto"/>
        <w:bottom w:val="none" w:sz="0" w:space="0" w:color="auto"/>
        <w:right w:val="none" w:sz="0" w:space="0" w:color="auto"/>
      </w:divBdr>
    </w:div>
    <w:div w:id="1704092942">
      <w:bodyDiv w:val="1"/>
      <w:marLeft w:val="0"/>
      <w:marRight w:val="0"/>
      <w:marTop w:val="0"/>
      <w:marBottom w:val="0"/>
      <w:divBdr>
        <w:top w:val="none" w:sz="0" w:space="0" w:color="auto"/>
        <w:left w:val="none" w:sz="0" w:space="0" w:color="auto"/>
        <w:bottom w:val="none" w:sz="0" w:space="0" w:color="auto"/>
        <w:right w:val="none" w:sz="0" w:space="0" w:color="auto"/>
      </w:divBdr>
    </w:div>
    <w:div w:id="1713843090">
      <w:bodyDiv w:val="1"/>
      <w:marLeft w:val="0"/>
      <w:marRight w:val="0"/>
      <w:marTop w:val="0"/>
      <w:marBottom w:val="0"/>
      <w:divBdr>
        <w:top w:val="none" w:sz="0" w:space="0" w:color="auto"/>
        <w:left w:val="none" w:sz="0" w:space="0" w:color="auto"/>
        <w:bottom w:val="none" w:sz="0" w:space="0" w:color="auto"/>
        <w:right w:val="none" w:sz="0" w:space="0" w:color="auto"/>
      </w:divBdr>
      <w:divsChild>
        <w:div w:id="595669440">
          <w:marLeft w:val="677"/>
          <w:marRight w:val="0"/>
          <w:marTop w:val="77"/>
          <w:marBottom w:val="0"/>
          <w:divBdr>
            <w:top w:val="none" w:sz="0" w:space="0" w:color="auto"/>
            <w:left w:val="none" w:sz="0" w:space="0" w:color="auto"/>
            <w:bottom w:val="none" w:sz="0" w:space="0" w:color="auto"/>
            <w:right w:val="none" w:sz="0" w:space="0" w:color="auto"/>
          </w:divBdr>
        </w:div>
        <w:div w:id="787432071">
          <w:marLeft w:val="115"/>
          <w:marRight w:val="0"/>
          <w:marTop w:val="86"/>
          <w:marBottom w:val="0"/>
          <w:divBdr>
            <w:top w:val="none" w:sz="0" w:space="0" w:color="auto"/>
            <w:left w:val="none" w:sz="0" w:space="0" w:color="auto"/>
            <w:bottom w:val="none" w:sz="0" w:space="0" w:color="auto"/>
            <w:right w:val="none" w:sz="0" w:space="0" w:color="auto"/>
          </w:divBdr>
        </w:div>
        <w:div w:id="915289007">
          <w:marLeft w:val="677"/>
          <w:marRight w:val="0"/>
          <w:marTop w:val="77"/>
          <w:marBottom w:val="0"/>
          <w:divBdr>
            <w:top w:val="none" w:sz="0" w:space="0" w:color="auto"/>
            <w:left w:val="none" w:sz="0" w:space="0" w:color="auto"/>
            <w:bottom w:val="none" w:sz="0" w:space="0" w:color="auto"/>
            <w:right w:val="none" w:sz="0" w:space="0" w:color="auto"/>
          </w:divBdr>
        </w:div>
        <w:div w:id="1012028390">
          <w:marLeft w:val="677"/>
          <w:marRight w:val="0"/>
          <w:marTop w:val="77"/>
          <w:marBottom w:val="0"/>
          <w:divBdr>
            <w:top w:val="none" w:sz="0" w:space="0" w:color="auto"/>
            <w:left w:val="none" w:sz="0" w:space="0" w:color="auto"/>
            <w:bottom w:val="none" w:sz="0" w:space="0" w:color="auto"/>
            <w:right w:val="none" w:sz="0" w:space="0" w:color="auto"/>
          </w:divBdr>
        </w:div>
        <w:div w:id="1454327606">
          <w:marLeft w:val="994"/>
          <w:marRight w:val="0"/>
          <w:marTop w:val="72"/>
          <w:marBottom w:val="0"/>
          <w:divBdr>
            <w:top w:val="none" w:sz="0" w:space="0" w:color="auto"/>
            <w:left w:val="none" w:sz="0" w:space="0" w:color="auto"/>
            <w:bottom w:val="none" w:sz="0" w:space="0" w:color="auto"/>
            <w:right w:val="none" w:sz="0" w:space="0" w:color="auto"/>
          </w:divBdr>
        </w:div>
        <w:div w:id="1628504937">
          <w:marLeft w:val="994"/>
          <w:marRight w:val="0"/>
          <w:marTop w:val="72"/>
          <w:marBottom w:val="0"/>
          <w:divBdr>
            <w:top w:val="none" w:sz="0" w:space="0" w:color="auto"/>
            <w:left w:val="none" w:sz="0" w:space="0" w:color="auto"/>
            <w:bottom w:val="none" w:sz="0" w:space="0" w:color="auto"/>
            <w:right w:val="none" w:sz="0" w:space="0" w:color="auto"/>
          </w:divBdr>
        </w:div>
        <w:div w:id="1762293463">
          <w:marLeft w:val="115"/>
          <w:marRight w:val="0"/>
          <w:marTop w:val="86"/>
          <w:marBottom w:val="0"/>
          <w:divBdr>
            <w:top w:val="none" w:sz="0" w:space="0" w:color="auto"/>
            <w:left w:val="none" w:sz="0" w:space="0" w:color="auto"/>
            <w:bottom w:val="none" w:sz="0" w:space="0" w:color="auto"/>
            <w:right w:val="none" w:sz="0" w:space="0" w:color="auto"/>
          </w:divBdr>
        </w:div>
        <w:div w:id="2059425912">
          <w:marLeft w:val="677"/>
          <w:marRight w:val="0"/>
          <w:marTop w:val="77"/>
          <w:marBottom w:val="240"/>
          <w:divBdr>
            <w:top w:val="none" w:sz="0" w:space="0" w:color="auto"/>
            <w:left w:val="none" w:sz="0" w:space="0" w:color="auto"/>
            <w:bottom w:val="none" w:sz="0" w:space="0" w:color="auto"/>
            <w:right w:val="none" w:sz="0" w:space="0" w:color="auto"/>
          </w:divBdr>
        </w:div>
      </w:divsChild>
    </w:div>
    <w:div w:id="1729911901">
      <w:bodyDiv w:val="1"/>
      <w:marLeft w:val="0"/>
      <w:marRight w:val="0"/>
      <w:marTop w:val="0"/>
      <w:marBottom w:val="0"/>
      <w:divBdr>
        <w:top w:val="none" w:sz="0" w:space="0" w:color="auto"/>
        <w:left w:val="none" w:sz="0" w:space="0" w:color="auto"/>
        <w:bottom w:val="none" w:sz="0" w:space="0" w:color="auto"/>
        <w:right w:val="none" w:sz="0" w:space="0" w:color="auto"/>
      </w:divBdr>
    </w:div>
    <w:div w:id="1753426325">
      <w:bodyDiv w:val="1"/>
      <w:marLeft w:val="0"/>
      <w:marRight w:val="0"/>
      <w:marTop w:val="0"/>
      <w:marBottom w:val="0"/>
      <w:divBdr>
        <w:top w:val="none" w:sz="0" w:space="0" w:color="auto"/>
        <w:left w:val="none" w:sz="0" w:space="0" w:color="auto"/>
        <w:bottom w:val="none" w:sz="0" w:space="0" w:color="auto"/>
        <w:right w:val="none" w:sz="0" w:space="0" w:color="auto"/>
      </w:divBdr>
      <w:divsChild>
        <w:div w:id="64836500">
          <w:marLeft w:val="677"/>
          <w:marRight w:val="0"/>
          <w:marTop w:val="77"/>
          <w:marBottom w:val="0"/>
          <w:divBdr>
            <w:top w:val="none" w:sz="0" w:space="0" w:color="auto"/>
            <w:left w:val="none" w:sz="0" w:space="0" w:color="auto"/>
            <w:bottom w:val="none" w:sz="0" w:space="0" w:color="auto"/>
            <w:right w:val="none" w:sz="0" w:space="0" w:color="auto"/>
          </w:divBdr>
        </w:div>
        <w:div w:id="156120823">
          <w:marLeft w:val="115"/>
          <w:marRight w:val="0"/>
          <w:marTop w:val="86"/>
          <w:marBottom w:val="120"/>
          <w:divBdr>
            <w:top w:val="none" w:sz="0" w:space="0" w:color="auto"/>
            <w:left w:val="none" w:sz="0" w:space="0" w:color="auto"/>
            <w:bottom w:val="none" w:sz="0" w:space="0" w:color="auto"/>
            <w:right w:val="none" w:sz="0" w:space="0" w:color="auto"/>
          </w:divBdr>
        </w:div>
        <w:div w:id="481894803">
          <w:marLeft w:val="115"/>
          <w:marRight w:val="0"/>
          <w:marTop w:val="86"/>
          <w:marBottom w:val="0"/>
          <w:divBdr>
            <w:top w:val="none" w:sz="0" w:space="0" w:color="auto"/>
            <w:left w:val="none" w:sz="0" w:space="0" w:color="auto"/>
            <w:bottom w:val="none" w:sz="0" w:space="0" w:color="auto"/>
            <w:right w:val="none" w:sz="0" w:space="0" w:color="auto"/>
          </w:divBdr>
        </w:div>
        <w:div w:id="712729418">
          <w:marLeft w:val="677"/>
          <w:marRight w:val="0"/>
          <w:marTop w:val="77"/>
          <w:marBottom w:val="120"/>
          <w:divBdr>
            <w:top w:val="none" w:sz="0" w:space="0" w:color="auto"/>
            <w:left w:val="none" w:sz="0" w:space="0" w:color="auto"/>
            <w:bottom w:val="none" w:sz="0" w:space="0" w:color="auto"/>
            <w:right w:val="none" w:sz="0" w:space="0" w:color="auto"/>
          </w:divBdr>
        </w:div>
        <w:div w:id="1262179784">
          <w:marLeft w:val="115"/>
          <w:marRight w:val="0"/>
          <w:marTop w:val="86"/>
          <w:marBottom w:val="120"/>
          <w:divBdr>
            <w:top w:val="none" w:sz="0" w:space="0" w:color="auto"/>
            <w:left w:val="none" w:sz="0" w:space="0" w:color="auto"/>
            <w:bottom w:val="none" w:sz="0" w:space="0" w:color="auto"/>
            <w:right w:val="none" w:sz="0" w:space="0" w:color="auto"/>
          </w:divBdr>
        </w:div>
        <w:div w:id="1320766904">
          <w:marLeft w:val="677"/>
          <w:marRight w:val="0"/>
          <w:marTop w:val="77"/>
          <w:marBottom w:val="0"/>
          <w:divBdr>
            <w:top w:val="none" w:sz="0" w:space="0" w:color="auto"/>
            <w:left w:val="none" w:sz="0" w:space="0" w:color="auto"/>
            <w:bottom w:val="none" w:sz="0" w:space="0" w:color="auto"/>
            <w:right w:val="none" w:sz="0" w:space="0" w:color="auto"/>
          </w:divBdr>
        </w:div>
        <w:div w:id="1481069943">
          <w:marLeft w:val="677"/>
          <w:marRight w:val="0"/>
          <w:marTop w:val="77"/>
          <w:marBottom w:val="0"/>
          <w:divBdr>
            <w:top w:val="none" w:sz="0" w:space="0" w:color="auto"/>
            <w:left w:val="none" w:sz="0" w:space="0" w:color="auto"/>
            <w:bottom w:val="none" w:sz="0" w:space="0" w:color="auto"/>
            <w:right w:val="none" w:sz="0" w:space="0" w:color="auto"/>
          </w:divBdr>
        </w:div>
        <w:div w:id="1636834820">
          <w:marLeft w:val="115"/>
          <w:marRight w:val="0"/>
          <w:marTop w:val="86"/>
          <w:marBottom w:val="0"/>
          <w:divBdr>
            <w:top w:val="none" w:sz="0" w:space="0" w:color="auto"/>
            <w:left w:val="none" w:sz="0" w:space="0" w:color="auto"/>
            <w:bottom w:val="none" w:sz="0" w:space="0" w:color="auto"/>
            <w:right w:val="none" w:sz="0" w:space="0" w:color="auto"/>
          </w:divBdr>
        </w:div>
        <w:div w:id="1918787706">
          <w:marLeft w:val="677"/>
          <w:marRight w:val="0"/>
          <w:marTop w:val="77"/>
          <w:marBottom w:val="120"/>
          <w:divBdr>
            <w:top w:val="none" w:sz="0" w:space="0" w:color="auto"/>
            <w:left w:val="none" w:sz="0" w:space="0" w:color="auto"/>
            <w:bottom w:val="none" w:sz="0" w:space="0" w:color="auto"/>
            <w:right w:val="none" w:sz="0" w:space="0" w:color="auto"/>
          </w:divBdr>
        </w:div>
        <w:div w:id="2120711626">
          <w:marLeft w:val="115"/>
          <w:marRight w:val="0"/>
          <w:marTop w:val="86"/>
          <w:marBottom w:val="120"/>
          <w:divBdr>
            <w:top w:val="none" w:sz="0" w:space="0" w:color="auto"/>
            <w:left w:val="none" w:sz="0" w:space="0" w:color="auto"/>
            <w:bottom w:val="none" w:sz="0" w:space="0" w:color="auto"/>
            <w:right w:val="none" w:sz="0" w:space="0" w:color="auto"/>
          </w:divBdr>
        </w:div>
      </w:divsChild>
    </w:div>
    <w:div w:id="1753968731">
      <w:bodyDiv w:val="1"/>
      <w:marLeft w:val="0"/>
      <w:marRight w:val="0"/>
      <w:marTop w:val="0"/>
      <w:marBottom w:val="0"/>
      <w:divBdr>
        <w:top w:val="none" w:sz="0" w:space="0" w:color="auto"/>
        <w:left w:val="none" w:sz="0" w:space="0" w:color="auto"/>
        <w:bottom w:val="none" w:sz="0" w:space="0" w:color="auto"/>
        <w:right w:val="none" w:sz="0" w:space="0" w:color="auto"/>
      </w:divBdr>
    </w:div>
    <w:div w:id="1793130949">
      <w:bodyDiv w:val="1"/>
      <w:marLeft w:val="0"/>
      <w:marRight w:val="0"/>
      <w:marTop w:val="0"/>
      <w:marBottom w:val="0"/>
      <w:divBdr>
        <w:top w:val="none" w:sz="0" w:space="0" w:color="auto"/>
        <w:left w:val="none" w:sz="0" w:space="0" w:color="auto"/>
        <w:bottom w:val="none" w:sz="0" w:space="0" w:color="auto"/>
        <w:right w:val="none" w:sz="0" w:space="0" w:color="auto"/>
      </w:divBdr>
    </w:div>
    <w:div w:id="1809204913">
      <w:bodyDiv w:val="1"/>
      <w:marLeft w:val="0"/>
      <w:marRight w:val="0"/>
      <w:marTop w:val="0"/>
      <w:marBottom w:val="0"/>
      <w:divBdr>
        <w:top w:val="none" w:sz="0" w:space="0" w:color="auto"/>
        <w:left w:val="none" w:sz="0" w:space="0" w:color="auto"/>
        <w:bottom w:val="none" w:sz="0" w:space="0" w:color="auto"/>
        <w:right w:val="none" w:sz="0" w:space="0" w:color="auto"/>
      </w:divBdr>
    </w:div>
    <w:div w:id="1815679930">
      <w:bodyDiv w:val="1"/>
      <w:marLeft w:val="0"/>
      <w:marRight w:val="0"/>
      <w:marTop w:val="0"/>
      <w:marBottom w:val="0"/>
      <w:divBdr>
        <w:top w:val="none" w:sz="0" w:space="0" w:color="auto"/>
        <w:left w:val="none" w:sz="0" w:space="0" w:color="auto"/>
        <w:bottom w:val="none" w:sz="0" w:space="0" w:color="auto"/>
        <w:right w:val="none" w:sz="0" w:space="0" w:color="auto"/>
      </w:divBdr>
      <w:divsChild>
        <w:div w:id="430667820">
          <w:marLeft w:val="115"/>
          <w:marRight w:val="0"/>
          <w:marTop w:val="86"/>
          <w:marBottom w:val="240"/>
          <w:divBdr>
            <w:top w:val="none" w:sz="0" w:space="0" w:color="auto"/>
            <w:left w:val="none" w:sz="0" w:space="0" w:color="auto"/>
            <w:bottom w:val="none" w:sz="0" w:space="0" w:color="auto"/>
            <w:right w:val="none" w:sz="0" w:space="0" w:color="auto"/>
          </w:divBdr>
        </w:div>
        <w:div w:id="834733550">
          <w:marLeft w:val="115"/>
          <w:marRight w:val="0"/>
          <w:marTop w:val="86"/>
          <w:marBottom w:val="240"/>
          <w:divBdr>
            <w:top w:val="none" w:sz="0" w:space="0" w:color="auto"/>
            <w:left w:val="none" w:sz="0" w:space="0" w:color="auto"/>
            <w:bottom w:val="none" w:sz="0" w:space="0" w:color="auto"/>
            <w:right w:val="none" w:sz="0" w:space="0" w:color="auto"/>
          </w:divBdr>
        </w:div>
        <w:div w:id="2071540353">
          <w:marLeft w:val="115"/>
          <w:marRight w:val="0"/>
          <w:marTop w:val="86"/>
          <w:marBottom w:val="240"/>
          <w:divBdr>
            <w:top w:val="none" w:sz="0" w:space="0" w:color="auto"/>
            <w:left w:val="none" w:sz="0" w:space="0" w:color="auto"/>
            <w:bottom w:val="none" w:sz="0" w:space="0" w:color="auto"/>
            <w:right w:val="none" w:sz="0" w:space="0" w:color="auto"/>
          </w:divBdr>
        </w:div>
      </w:divsChild>
    </w:div>
    <w:div w:id="1833061034">
      <w:bodyDiv w:val="1"/>
      <w:marLeft w:val="0"/>
      <w:marRight w:val="0"/>
      <w:marTop w:val="0"/>
      <w:marBottom w:val="0"/>
      <w:divBdr>
        <w:top w:val="none" w:sz="0" w:space="0" w:color="auto"/>
        <w:left w:val="none" w:sz="0" w:space="0" w:color="auto"/>
        <w:bottom w:val="none" w:sz="0" w:space="0" w:color="auto"/>
        <w:right w:val="none" w:sz="0" w:space="0" w:color="auto"/>
      </w:divBdr>
    </w:div>
    <w:div w:id="1844777235">
      <w:bodyDiv w:val="1"/>
      <w:marLeft w:val="0"/>
      <w:marRight w:val="0"/>
      <w:marTop w:val="0"/>
      <w:marBottom w:val="0"/>
      <w:divBdr>
        <w:top w:val="none" w:sz="0" w:space="0" w:color="auto"/>
        <w:left w:val="none" w:sz="0" w:space="0" w:color="auto"/>
        <w:bottom w:val="none" w:sz="0" w:space="0" w:color="auto"/>
        <w:right w:val="none" w:sz="0" w:space="0" w:color="auto"/>
      </w:divBdr>
      <w:divsChild>
        <w:div w:id="988052935">
          <w:marLeft w:val="115"/>
          <w:marRight w:val="0"/>
          <w:marTop w:val="86"/>
          <w:marBottom w:val="0"/>
          <w:divBdr>
            <w:top w:val="none" w:sz="0" w:space="0" w:color="auto"/>
            <w:left w:val="none" w:sz="0" w:space="0" w:color="auto"/>
            <w:bottom w:val="none" w:sz="0" w:space="0" w:color="auto"/>
            <w:right w:val="none" w:sz="0" w:space="0" w:color="auto"/>
          </w:divBdr>
        </w:div>
        <w:div w:id="227688624">
          <w:marLeft w:val="677"/>
          <w:marRight w:val="0"/>
          <w:marTop w:val="77"/>
          <w:marBottom w:val="0"/>
          <w:divBdr>
            <w:top w:val="none" w:sz="0" w:space="0" w:color="auto"/>
            <w:left w:val="none" w:sz="0" w:space="0" w:color="auto"/>
            <w:bottom w:val="none" w:sz="0" w:space="0" w:color="auto"/>
            <w:right w:val="none" w:sz="0" w:space="0" w:color="auto"/>
          </w:divBdr>
        </w:div>
        <w:div w:id="459038103">
          <w:marLeft w:val="677"/>
          <w:marRight w:val="0"/>
          <w:marTop w:val="77"/>
          <w:marBottom w:val="0"/>
          <w:divBdr>
            <w:top w:val="none" w:sz="0" w:space="0" w:color="auto"/>
            <w:left w:val="none" w:sz="0" w:space="0" w:color="auto"/>
            <w:bottom w:val="none" w:sz="0" w:space="0" w:color="auto"/>
            <w:right w:val="none" w:sz="0" w:space="0" w:color="auto"/>
          </w:divBdr>
        </w:div>
        <w:div w:id="615403264">
          <w:marLeft w:val="677"/>
          <w:marRight w:val="0"/>
          <w:marTop w:val="77"/>
          <w:marBottom w:val="240"/>
          <w:divBdr>
            <w:top w:val="none" w:sz="0" w:space="0" w:color="auto"/>
            <w:left w:val="none" w:sz="0" w:space="0" w:color="auto"/>
            <w:bottom w:val="none" w:sz="0" w:space="0" w:color="auto"/>
            <w:right w:val="none" w:sz="0" w:space="0" w:color="auto"/>
          </w:divBdr>
        </w:div>
        <w:div w:id="282465723">
          <w:marLeft w:val="115"/>
          <w:marRight w:val="0"/>
          <w:marTop w:val="86"/>
          <w:marBottom w:val="0"/>
          <w:divBdr>
            <w:top w:val="none" w:sz="0" w:space="0" w:color="auto"/>
            <w:left w:val="none" w:sz="0" w:space="0" w:color="auto"/>
            <w:bottom w:val="none" w:sz="0" w:space="0" w:color="auto"/>
            <w:right w:val="none" w:sz="0" w:space="0" w:color="auto"/>
          </w:divBdr>
        </w:div>
        <w:div w:id="915096302">
          <w:marLeft w:val="677"/>
          <w:marRight w:val="0"/>
          <w:marTop w:val="77"/>
          <w:marBottom w:val="0"/>
          <w:divBdr>
            <w:top w:val="none" w:sz="0" w:space="0" w:color="auto"/>
            <w:left w:val="none" w:sz="0" w:space="0" w:color="auto"/>
            <w:bottom w:val="none" w:sz="0" w:space="0" w:color="auto"/>
            <w:right w:val="none" w:sz="0" w:space="0" w:color="auto"/>
          </w:divBdr>
        </w:div>
        <w:div w:id="1478768820">
          <w:marLeft w:val="677"/>
          <w:marRight w:val="0"/>
          <w:marTop w:val="77"/>
          <w:marBottom w:val="0"/>
          <w:divBdr>
            <w:top w:val="none" w:sz="0" w:space="0" w:color="auto"/>
            <w:left w:val="none" w:sz="0" w:space="0" w:color="auto"/>
            <w:bottom w:val="none" w:sz="0" w:space="0" w:color="auto"/>
            <w:right w:val="none" w:sz="0" w:space="0" w:color="auto"/>
          </w:divBdr>
        </w:div>
      </w:divsChild>
    </w:div>
    <w:div w:id="1848322876">
      <w:bodyDiv w:val="1"/>
      <w:marLeft w:val="0"/>
      <w:marRight w:val="0"/>
      <w:marTop w:val="0"/>
      <w:marBottom w:val="0"/>
      <w:divBdr>
        <w:top w:val="none" w:sz="0" w:space="0" w:color="auto"/>
        <w:left w:val="none" w:sz="0" w:space="0" w:color="auto"/>
        <w:bottom w:val="none" w:sz="0" w:space="0" w:color="auto"/>
        <w:right w:val="none" w:sz="0" w:space="0" w:color="auto"/>
      </w:divBdr>
    </w:div>
    <w:div w:id="1863543558">
      <w:marLeft w:val="0"/>
      <w:marRight w:val="0"/>
      <w:marTop w:val="0"/>
      <w:marBottom w:val="0"/>
      <w:divBdr>
        <w:top w:val="none" w:sz="0" w:space="0" w:color="auto"/>
        <w:left w:val="none" w:sz="0" w:space="0" w:color="auto"/>
        <w:bottom w:val="none" w:sz="0" w:space="0" w:color="auto"/>
        <w:right w:val="none" w:sz="0" w:space="0" w:color="auto"/>
      </w:divBdr>
    </w:div>
    <w:div w:id="1863543559">
      <w:marLeft w:val="0"/>
      <w:marRight w:val="0"/>
      <w:marTop w:val="0"/>
      <w:marBottom w:val="0"/>
      <w:divBdr>
        <w:top w:val="none" w:sz="0" w:space="0" w:color="auto"/>
        <w:left w:val="none" w:sz="0" w:space="0" w:color="auto"/>
        <w:bottom w:val="none" w:sz="0" w:space="0" w:color="auto"/>
        <w:right w:val="none" w:sz="0" w:space="0" w:color="auto"/>
      </w:divBdr>
      <w:divsChild>
        <w:div w:id="1863543773">
          <w:marLeft w:val="0"/>
          <w:marRight w:val="0"/>
          <w:marTop w:val="0"/>
          <w:marBottom w:val="0"/>
          <w:divBdr>
            <w:top w:val="none" w:sz="0" w:space="0" w:color="auto"/>
            <w:left w:val="none" w:sz="0" w:space="0" w:color="auto"/>
            <w:bottom w:val="none" w:sz="0" w:space="0" w:color="auto"/>
            <w:right w:val="none" w:sz="0" w:space="0" w:color="auto"/>
          </w:divBdr>
          <w:divsChild>
            <w:div w:id="1863543733">
              <w:marLeft w:val="0"/>
              <w:marRight w:val="0"/>
              <w:marTop w:val="0"/>
              <w:marBottom w:val="0"/>
              <w:divBdr>
                <w:top w:val="none" w:sz="0" w:space="0" w:color="auto"/>
                <w:left w:val="none" w:sz="0" w:space="0" w:color="auto"/>
                <w:bottom w:val="none" w:sz="0" w:space="0" w:color="auto"/>
                <w:right w:val="none" w:sz="0" w:space="0" w:color="auto"/>
              </w:divBdr>
              <w:divsChild>
                <w:div w:id="1863543721">
                  <w:marLeft w:val="0"/>
                  <w:marRight w:val="0"/>
                  <w:marTop w:val="0"/>
                  <w:marBottom w:val="0"/>
                  <w:divBdr>
                    <w:top w:val="none" w:sz="0" w:space="0" w:color="auto"/>
                    <w:left w:val="none" w:sz="0" w:space="0" w:color="auto"/>
                    <w:bottom w:val="none" w:sz="0" w:space="0" w:color="auto"/>
                    <w:right w:val="none" w:sz="0" w:space="0" w:color="auto"/>
                  </w:divBdr>
                  <w:divsChild>
                    <w:div w:id="1863543703">
                      <w:marLeft w:val="0"/>
                      <w:marRight w:val="0"/>
                      <w:marTop w:val="0"/>
                      <w:marBottom w:val="0"/>
                      <w:divBdr>
                        <w:top w:val="none" w:sz="0" w:space="0" w:color="auto"/>
                        <w:left w:val="none" w:sz="0" w:space="0" w:color="auto"/>
                        <w:bottom w:val="none" w:sz="0" w:space="0" w:color="auto"/>
                        <w:right w:val="none" w:sz="0" w:space="0" w:color="auto"/>
                      </w:divBdr>
                      <w:divsChild>
                        <w:div w:id="1863543608">
                          <w:marLeft w:val="0"/>
                          <w:marRight w:val="0"/>
                          <w:marTop w:val="0"/>
                          <w:marBottom w:val="0"/>
                          <w:divBdr>
                            <w:top w:val="none" w:sz="0" w:space="0" w:color="auto"/>
                            <w:left w:val="none" w:sz="0" w:space="0" w:color="auto"/>
                            <w:bottom w:val="none" w:sz="0" w:space="0" w:color="auto"/>
                            <w:right w:val="none" w:sz="0" w:space="0" w:color="auto"/>
                          </w:divBdr>
                          <w:divsChild>
                            <w:div w:id="1863543769">
                              <w:marLeft w:val="0"/>
                              <w:marRight w:val="0"/>
                              <w:marTop w:val="0"/>
                              <w:marBottom w:val="0"/>
                              <w:divBdr>
                                <w:top w:val="none" w:sz="0" w:space="0" w:color="auto"/>
                                <w:left w:val="none" w:sz="0" w:space="0" w:color="auto"/>
                                <w:bottom w:val="none" w:sz="0" w:space="0" w:color="auto"/>
                                <w:right w:val="none" w:sz="0" w:space="0" w:color="auto"/>
                              </w:divBdr>
                              <w:divsChild>
                                <w:div w:id="1863543696">
                                  <w:marLeft w:val="0"/>
                                  <w:marRight w:val="0"/>
                                  <w:marTop w:val="0"/>
                                  <w:marBottom w:val="0"/>
                                  <w:divBdr>
                                    <w:top w:val="none" w:sz="0" w:space="0" w:color="auto"/>
                                    <w:left w:val="none" w:sz="0" w:space="0" w:color="auto"/>
                                    <w:bottom w:val="none" w:sz="0" w:space="0" w:color="auto"/>
                                    <w:right w:val="none" w:sz="0" w:space="0" w:color="auto"/>
                                  </w:divBdr>
                                  <w:divsChild>
                                    <w:div w:id="18635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3560">
      <w:marLeft w:val="0"/>
      <w:marRight w:val="0"/>
      <w:marTop w:val="0"/>
      <w:marBottom w:val="0"/>
      <w:divBdr>
        <w:top w:val="none" w:sz="0" w:space="0" w:color="auto"/>
        <w:left w:val="none" w:sz="0" w:space="0" w:color="auto"/>
        <w:bottom w:val="none" w:sz="0" w:space="0" w:color="auto"/>
        <w:right w:val="none" w:sz="0" w:space="0" w:color="auto"/>
      </w:divBdr>
      <w:divsChild>
        <w:div w:id="1863543570">
          <w:marLeft w:val="0"/>
          <w:marRight w:val="0"/>
          <w:marTop w:val="0"/>
          <w:marBottom w:val="0"/>
          <w:divBdr>
            <w:top w:val="none" w:sz="0" w:space="0" w:color="auto"/>
            <w:left w:val="none" w:sz="0" w:space="0" w:color="auto"/>
            <w:bottom w:val="none" w:sz="0" w:space="0" w:color="auto"/>
            <w:right w:val="none" w:sz="0" w:space="0" w:color="auto"/>
          </w:divBdr>
          <w:divsChild>
            <w:div w:id="1863543670">
              <w:marLeft w:val="56"/>
              <w:marRight w:val="56"/>
              <w:marTop w:val="0"/>
              <w:marBottom w:val="0"/>
              <w:divBdr>
                <w:top w:val="none" w:sz="0" w:space="0" w:color="auto"/>
                <w:left w:val="none" w:sz="0" w:space="0" w:color="auto"/>
                <w:bottom w:val="none" w:sz="0" w:space="0" w:color="auto"/>
                <w:right w:val="none" w:sz="0" w:space="0" w:color="auto"/>
              </w:divBdr>
              <w:divsChild>
                <w:div w:id="1863543628">
                  <w:marLeft w:val="0"/>
                  <w:marRight w:val="0"/>
                  <w:marTop w:val="0"/>
                  <w:marBottom w:val="0"/>
                  <w:divBdr>
                    <w:top w:val="none" w:sz="0" w:space="0" w:color="auto"/>
                    <w:left w:val="none" w:sz="0" w:space="0" w:color="auto"/>
                    <w:bottom w:val="none" w:sz="0" w:space="0" w:color="auto"/>
                    <w:right w:val="none" w:sz="0" w:space="0" w:color="auto"/>
                  </w:divBdr>
                  <w:divsChild>
                    <w:div w:id="18635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3563">
      <w:marLeft w:val="0"/>
      <w:marRight w:val="0"/>
      <w:marTop w:val="0"/>
      <w:marBottom w:val="0"/>
      <w:divBdr>
        <w:top w:val="none" w:sz="0" w:space="0" w:color="auto"/>
        <w:left w:val="none" w:sz="0" w:space="0" w:color="auto"/>
        <w:bottom w:val="none" w:sz="0" w:space="0" w:color="auto"/>
        <w:right w:val="none" w:sz="0" w:space="0" w:color="auto"/>
      </w:divBdr>
      <w:divsChild>
        <w:div w:id="1863543566">
          <w:marLeft w:val="0"/>
          <w:marRight w:val="0"/>
          <w:marTop w:val="0"/>
          <w:marBottom w:val="0"/>
          <w:divBdr>
            <w:top w:val="none" w:sz="0" w:space="0" w:color="auto"/>
            <w:left w:val="none" w:sz="0" w:space="0" w:color="auto"/>
            <w:bottom w:val="none" w:sz="0" w:space="0" w:color="auto"/>
            <w:right w:val="none" w:sz="0" w:space="0" w:color="auto"/>
          </w:divBdr>
        </w:div>
        <w:div w:id="1863543571">
          <w:marLeft w:val="0"/>
          <w:marRight w:val="0"/>
          <w:marTop w:val="0"/>
          <w:marBottom w:val="0"/>
          <w:divBdr>
            <w:top w:val="none" w:sz="0" w:space="0" w:color="auto"/>
            <w:left w:val="none" w:sz="0" w:space="0" w:color="auto"/>
            <w:bottom w:val="none" w:sz="0" w:space="0" w:color="auto"/>
            <w:right w:val="none" w:sz="0" w:space="0" w:color="auto"/>
          </w:divBdr>
        </w:div>
        <w:div w:id="1863543584">
          <w:marLeft w:val="0"/>
          <w:marRight w:val="0"/>
          <w:marTop w:val="0"/>
          <w:marBottom w:val="0"/>
          <w:divBdr>
            <w:top w:val="none" w:sz="0" w:space="0" w:color="auto"/>
            <w:left w:val="none" w:sz="0" w:space="0" w:color="auto"/>
            <w:bottom w:val="none" w:sz="0" w:space="0" w:color="auto"/>
            <w:right w:val="none" w:sz="0" w:space="0" w:color="auto"/>
          </w:divBdr>
        </w:div>
        <w:div w:id="1863543586">
          <w:marLeft w:val="0"/>
          <w:marRight w:val="0"/>
          <w:marTop w:val="0"/>
          <w:marBottom w:val="0"/>
          <w:divBdr>
            <w:top w:val="none" w:sz="0" w:space="0" w:color="auto"/>
            <w:left w:val="none" w:sz="0" w:space="0" w:color="auto"/>
            <w:bottom w:val="none" w:sz="0" w:space="0" w:color="auto"/>
            <w:right w:val="none" w:sz="0" w:space="0" w:color="auto"/>
          </w:divBdr>
        </w:div>
        <w:div w:id="1863543589">
          <w:marLeft w:val="0"/>
          <w:marRight w:val="0"/>
          <w:marTop w:val="0"/>
          <w:marBottom w:val="0"/>
          <w:divBdr>
            <w:top w:val="none" w:sz="0" w:space="0" w:color="auto"/>
            <w:left w:val="none" w:sz="0" w:space="0" w:color="auto"/>
            <w:bottom w:val="none" w:sz="0" w:space="0" w:color="auto"/>
            <w:right w:val="none" w:sz="0" w:space="0" w:color="auto"/>
          </w:divBdr>
        </w:div>
        <w:div w:id="1863543592">
          <w:marLeft w:val="0"/>
          <w:marRight w:val="0"/>
          <w:marTop w:val="0"/>
          <w:marBottom w:val="0"/>
          <w:divBdr>
            <w:top w:val="none" w:sz="0" w:space="0" w:color="auto"/>
            <w:left w:val="none" w:sz="0" w:space="0" w:color="auto"/>
            <w:bottom w:val="none" w:sz="0" w:space="0" w:color="auto"/>
            <w:right w:val="none" w:sz="0" w:space="0" w:color="auto"/>
          </w:divBdr>
        </w:div>
        <w:div w:id="1863543595">
          <w:marLeft w:val="0"/>
          <w:marRight w:val="0"/>
          <w:marTop w:val="0"/>
          <w:marBottom w:val="0"/>
          <w:divBdr>
            <w:top w:val="none" w:sz="0" w:space="0" w:color="auto"/>
            <w:left w:val="none" w:sz="0" w:space="0" w:color="auto"/>
            <w:bottom w:val="none" w:sz="0" w:space="0" w:color="auto"/>
            <w:right w:val="none" w:sz="0" w:space="0" w:color="auto"/>
          </w:divBdr>
        </w:div>
        <w:div w:id="1863543599">
          <w:marLeft w:val="0"/>
          <w:marRight w:val="0"/>
          <w:marTop w:val="0"/>
          <w:marBottom w:val="0"/>
          <w:divBdr>
            <w:top w:val="none" w:sz="0" w:space="0" w:color="auto"/>
            <w:left w:val="none" w:sz="0" w:space="0" w:color="auto"/>
            <w:bottom w:val="none" w:sz="0" w:space="0" w:color="auto"/>
            <w:right w:val="none" w:sz="0" w:space="0" w:color="auto"/>
          </w:divBdr>
        </w:div>
        <w:div w:id="1863543622">
          <w:marLeft w:val="0"/>
          <w:marRight w:val="0"/>
          <w:marTop w:val="0"/>
          <w:marBottom w:val="0"/>
          <w:divBdr>
            <w:top w:val="none" w:sz="0" w:space="0" w:color="auto"/>
            <w:left w:val="none" w:sz="0" w:space="0" w:color="auto"/>
            <w:bottom w:val="none" w:sz="0" w:space="0" w:color="auto"/>
            <w:right w:val="none" w:sz="0" w:space="0" w:color="auto"/>
          </w:divBdr>
        </w:div>
        <w:div w:id="1863543627">
          <w:marLeft w:val="0"/>
          <w:marRight w:val="0"/>
          <w:marTop w:val="0"/>
          <w:marBottom w:val="0"/>
          <w:divBdr>
            <w:top w:val="none" w:sz="0" w:space="0" w:color="auto"/>
            <w:left w:val="none" w:sz="0" w:space="0" w:color="auto"/>
            <w:bottom w:val="none" w:sz="0" w:space="0" w:color="auto"/>
            <w:right w:val="none" w:sz="0" w:space="0" w:color="auto"/>
          </w:divBdr>
        </w:div>
        <w:div w:id="1863543640">
          <w:marLeft w:val="0"/>
          <w:marRight w:val="0"/>
          <w:marTop w:val="0"/>
          <w:marBottom w:val="0"/>
          <w:divBdr>
            <w:top w:val="none" w:sz="0" w:space="0" w:color="auto"/>
            <w:left w:val="none" w:sz="0" w:space="0" w:color="auto"/>
            <w:bottom w:val="none" w:sz="0" w:space="0" w:color="auto"/>
            <w:right w:val="none" w:sz="0" w:space="0" w:color="auto"/>
          </w:divBdr>
        </w:div>
        <w:div w:id="1863543681">
          <w:marLeft w:val="0"/>
          <w:marRight w:val="0"/>
          <w:marTop w:val="0"/>
          <w:marBottom w:val="0"/>
          <w:divBdr>
            <w:top w:val="none" w:sz="0" w:space="0" w:color="auto"/>
            <w:left w:val="none" w:sz="0" w:space="0" w:color="auto"/>
            <w:bottom w:val="none" w:sz="0" w:space="0" w:color="auto"/>
            <w:right w:val="none" w:sz="0" w:space="0" w:color="auto"/>
          </w:divBdr>
        </w:div>
        <w:div w:id="1863543718">
          <w:marLeft w:val="0"/>
          <w:marRight w:val="0"/>
          <w:marTop w:val="0"/>
          <w:marBottom w:val="0"/>
          <w:divBdr>
            <w:top w:val="none" w:sz="0" w:space="0" w:color="auto"/>
            <w:left w:val="none" w:sz="0" w:space="0" w:color="auto"/>
            <w:bottom w:val="none" w:sz="0" w:space="0" w:color="auto"/>
            <w:right w:val="none" w:sz="0" w:space="0" w:color="auto"/>
          </w:divBdr>
        </w:div>
        <w:div w:id="1863543724">
          <w:marLeft w:val="0"/>
          <w:marRight w:val="0"/>
          <w:marTop w:val="0"/>
          <w:marBottom w:val="0"/>
          <w:divBdr>
            <w:top w:val="none" w:sz="0" w:space="0" w:color="auto"/>
            <w:left w:val="none" w:sz="0" w:space="0" w:color="auto"/>
            <w:bottom w:val="none" w:sz="0" w:space="0" w:color="auto"/>
            <w:right w:val="none" w:sz="0" w:space="0" w:color="auto"/>
          </w:divBdr>
        </w:div>
        <w:div w:id="1863543744">
          <w:marLeft w:val="0"/>
          <w:marRight w:val="0"/>
          <w:marTop w:val="0"/>
          <w:marBottom w:val="0"/>
          <w:divBdr>
            <w:top w:val="none" w:sz="0" w:space="0" w:color="auto"/>
            <w:left w:val="none" w:sz="0" w:space="0" w:color="auto"/>
            <w:bottom w:val="none" w:sz="0" w:space="0" w:color="auto"/>
            <w:right w:val="none" w:sz="0" w:space="0" w:color="auto"/>
          </w:divBdr>
        </w:div>
        <w:div w:id="1863543746">
          <w:marLeft w:val="0"/>
          <w:marRight w:val="0"/>
          <w:marTop w:val="0"/>
          <w:marBottom w:val="0"/>
          <w:divBdr>
            <w:top w:val="none" w:sz="0" w:space="0" w:color="auto"/>
            <w:left w:val="none" w:sz="0" w:space="0" w:color="auto"/>
            <w:bottom w:val="none" w:sz="0" w:space="0" w:color="auto"/>
            <w:right w:val="none" w:sz="0" w:space="0" w:color="auto"/>
          </w:divBdr>
        </w:div>
        <w:div w:id="1863543759">
          <w:marLeft w:val="0"/>
          <w:marRight w:val="0"/>
          <w:marTop w:val="0"/>
          <w:marBottom w:val="0"/>
          <w:divBdr>
            <w:top w:val="none" w:sz="0" w:space="0" w:color="auto"/>
            <w:left w:val="none" w:sz="0" w:space="0" w:color="auto"/>
            <w:bottom w:val="none" w:sz="0" w:space="0" w:color="auto"/>
            <w:right w:val="none" w:sz="0" w:space="0" w:color="auto"/>
          </w:divBdr>
        </w:div>
      </w:divsChild>
    </w:div>
    <w:div w:id="1863543565">
      <w:marLeft w:val="0"/>
      <w:marRight w:val="0"/>
      <w:marTop w:val="0"/>
      <w:marBottom w:val="0"/>
      <w:divBdr>
        <w:top w:val="none" w:sz="0" w:space="0" w:color="auto"/>
        <w:left w:val="none" w:sz="0" w:space="0" w:color="auto"/>
        <w:bottom w:val="none" w:sz="0" w:space="0" w:color="auto"/>
        <w:right w:val="none" w:sz="0" w:space="0" w:color="auto"/>
      </w:divBdr>
    </w:div>
    <w:div w:id="1863543569">
      <w:marLeft w:val="0"/>
      <w:marRight w:val="0"/>
      <w:marTop w:val="0"/>
      <w:marBottom w:val="0"/>
      <w:divBdr>
        <w:top w:val="none" w:sz="0" w:space="0" w:color="auto"/>
        <w:left w:val="none" w:sz="0" w:space="0" w:color="auto"/>
        <w:bottom w:val="none" w:sz="0" w:space="0" w:color="auto"/>
        <w:right w:val="none" w:sz="0" w:space="0" w:color="auto"/>
      </w:divBdr>
      <w:divsChild>
        <w:div w:id="1863543711">
          <w:marLeft w:val="0"/>
          <w:marRight w:val="0"/>
          <w:marTop w:val="0"/>
          <w:marBottom w:val="0"/>
          <w:divBdr>
            <w:top w:val="none" w:sz="0" w:space="0" w:color="auto"/>
            <w:left w:val="none" w:sz="0" w:space="0" w:color="auto"/>
            <w:bottom w:val="none" w:sz="0" w:space="0" w:color="auto"/>
            <w:right w:val="none" w:sz="0" w:space="0" w:color="auto"/>
          </w:divBdr>
          <w:divsChild>
            <w:div w:id="1863543706">
              <w:marLeft w:val="0"/>
              <w:marRight w:val="0"/>
              <w:marTop w:val="0"/>
              <w:marBottom w:val="0"/>
              <w:divBdr>
                <w:top w:val="none" w:sz="0" w:space="0" w:color="auto"/>
                <w:left w:val="none" w:sz="0" w:space="0" w:color="auto"/>
                <w:bottom w:val="none" w:sz="0" w:space="0" w:color="auto"/>
                <w:right w:val="none" w:sz="0" w:space="0" w:color="auto"/>
              </w:divBdr>
              <w:divsChild>
                <w:div w:id="1863543643">
                  <w:marLeft w:val="0"/>
                  <w:marRight w:val="0"/>
                  <w:marTop w:val="0"/>
                  <w:marBottom w:val="0"/>
                  <w:divBdr>
                    <w:top w:val="none" w:sz="0" w:space="0" w:color="auto"/>
                    <w:left w:val="none" w:sz="0" w:space="0" w:color="auto"/>
                    <w:bottom w:val="none" w:sz="0" w:space="0" w:color="auto"/>
                    <w:right w:val="none" w:sz="0" w:space="0" w:color="auto"/>
                  </w:divBdr>
                  <w:divsChild>
                    <w:div w:id="1863543741">
                      <w:marLeft w:val="0"/>
                      <w:marRight w:val="0"/>
                      <w:marTop w:val="0"/>
                      <w:marBottom w:val="0"/>
                      <w:divBdr>
                        <w:top w:val="none" w:sz="0" w:space="0" w:color="auto"/>
                        <w:left w:val="none" w:sz="0" w:space="0" w:color="auto"/>
                        <w:bottom w:val="none" w:sz="0" w:space="0" w:color="auto"/>
                        <w:right w:val="none" w:sz="0" w:space="0" w:color="auto"/>
                      </w:divBdr>
                      <w:divsChild>
                        <w:div w:id="1863543665">
                          <w:marLeft w:val="0"/>
                          <w:marRight w:val="0"/>
                          <w:marTop w:val="0"/>
                          <w:marBottom w:val="0"/>
                          <w:divBdr>
                            <w:top w:val="none" w:sz="0" w:space="0" w:color="auto"/>
                            <w:left w:val="none" w:sz="0" w:space="0" w:color="auto"/>
                            <w:bottom w:val="none" w:sz="0" w:space="0" w:color="auto"/>
                            <w:right w:val="none" w:sz="0" w:space="0" w:color="auto"/>
                          </w:divBdr>
                          <w:divsChild>
                            <w:div w:id="1863543731">
                              <w:marLeft w:val="0"/>
                              <w:marRight w:val="0"/>
                              <w:marTop w:val="0"/>
                              <w:marBottom w:val="0"/>
                              <w:divBdr>
                                <w:top w:val="none" w:sz="0" w:space="0" w:color="auto"/>
                                <w:left w:val="none" w:sz="0" w:space="0" w:color="auto"/>
                                <w:bottom w:val="none" w:sz="0" w:space="0" w:color="auto"/>
                                <w:right w:val="none" w:sz="0" w:space="0" w:color="auto"/>
                              </w:divBdr>
                              <w:divsChild>
                                <w:div w:id="1863543737">
                                  <w:marLeft w:val="0"/>
                                  <w:marRight w:val="0"/>
                                  <w:marTop w:val="0"/>
                                  <w:marBottom w:val="0"/>
                                  <w:divBdr>
                                    <w:top w:val="none" w:sz="0" w:space="0" w:color="auto"/>
                                    <w:left w:val="none" w:sz="0" w:space="0" w:color="auto"/>
                                    <w:bottom w:val="none" w:sz="0" w:space="0" w:color="auto"/>
                                    <w:right w:val="none" w:sz="0" w:space="0" w:color="auto"/>
                                  </w:divBdr>
                                  <w:divsChild>
                                    <w:div w:id="1863543679">
                                      <w:marLeft w:val="0"/>
                                      <w:marRight w:val="0"/>
                                      <w:marTop w:val="0"/>
                                      <w:marBottom w:val="0"/>
                                      <w:divBdr>
                                        <w:top w:val="none" w:sz="0" w:space="0" w:color="auto"/>
                                        <w:left w:val="none" w:sz="0" w:space="0" w:color="auto"/>
                                        <w:bottom w:val="none" w:sz="0" w:space="0" w:color="auto"/>
                                        <w:right w:val="none" w:sz="0" w:space="0" w:color="auto"/>
                                      </w:divBdr>
                                      <w:divsChild>
                                        <w:div w:id="1863543582">
                                          <w:marLeft w:val="0"/>
                                          <w:marRight w:val="0"/>
                                          <w:marTop w:val="0"/>
                                          <w:marBottom w:val="0"/>
                                          <w:divBdr>
                                            <w:top w:val="none" w:sz="0" w:space="0" w:color="auto"/>
                                            <w:left w:val="none" w:sz="0" w:space="0" w:color="auto"/>
                                            <w:bottom w:val="none" w:sz="0" w:space="0" w:color="auto"/>
                                            <w:right w:val="none" w:sz="0" w:space="0" w:color="auto"/>
                                          </w:divBdr>
                                        </w:div>
                                        <w:div w:id="1863543668">
                                          <w:marLeft w:val="0"/>
                                          <w:marRight w:val="0"/>
                                          <w:marTop w:val="0"/>
                                          <w:marBottom w:val="0"/>
                                          <w:divBdr>
                                            <w:top w:val="none" w:sz="0" w:space="0" w:color="auto"/>
                                            <w:left w:val="none" w:sz="0" w:space="0" w:color="auto"/>
                                            <w:bottom w:val="none" w:sz="0" w:space="0" w:color="auto"/>
                                            <w:right w:val="none" w:sz="0" w:space="0" w:color="auto"/>
                                          </w:divBdr>
                                        </w:div>
                                        <w:div w:id="1863543669">
                                          <w:marLeft w:val="0"/>
                                          <w:marRight w:val="0"/>
                                          <w:marTop w:val="0"/>
                                          <w:marBottom w:val="0"/>
                                          <w:divBdr>
                                            <w:top w:val="none" w:sz="0" w:space="0" w:color="auto"/>
                                            <w:left w:val="none" w:sz="0" w:space="0" w:color="auto"/>
                                            <w:bottom w:val="none" w:sz="0" w:space="0" w:color="auto"/>
                                            <w:right w:val="none" w:sz="0" w:space="0" w:color="auto"/>
                                          </w:divBdr>
                                        </w:div>
                                        <w:div w:id="1863543682">
                                          <w:marLeft w:val="0"/>
                                          <w:marRight w:val="0"/>
                                          <w:marTop w:val="0"/>
                                          <w:marBottom w:val="0"/>
                                          <w:divBdr>
                                            <w:top w:val="none" w:sz="0" w:space="0" w:color="auto"/>
                                            <w:left w:val="none" w:sz="0" w:space="0" w:color="auto"/>
                                            <w:bottom w:val="none" w:sz="0" w:space="0" w:color="auto"/>
                                            <w:right w:val="none" w:sz="0" w:space="0" w:color="auto"/>
                                          </w:divBdr>
                                        </w:div>
                                        <w:div w:id="1863543698">
                                          <w:marLeft w:val="0"/>
                                          <w:marRight w:val="0"/>
                                          <w:marTop w:val="0"/>
                                          <w:marBottom w:val="0"/>
                                          <w:divBdr>
                                            <w:top w:val="none" w:sz="0" w:space="0" w:color="auto"/>
                                            <w:left w:val="none" w:sz="0" w:space="0" w:color="auto"/>
                                            <w:bottom w:val="none" w:sz="0" w:space="0" w:color="auto"/>
                                            <w:right w:val="none" w:sz="0" w:space="0" w:color="auto"/>
                                          </w:divBdr>
                                        </w:div>
                                        <w:div w:id="1863543716">
                                          <w:marLeft w:val="720"/>
                                          <w:marRight w:val="720"/>
                                          <w:marTop w:val="100"/>
                                          <w:marBottom w:val="100"/>
                                          <w:divBdr>
                                            <w:top w:val="none" w:sz="0" w:space="0" w:color="auto"/>
                                            <w:left w:val="none" w:sz="0" w:space="0" w:color="auto"/>
                                            <w:bottom w:val="none" w:sz="0" w:space="0" w:color="auto"/>
                                            <w:right w:val="none" w:sz="0" w:space="0" w:color="auto"/>
                                          </w:divBdr>
                                          <w:divsChild>
                                            <w:div w:id="1863543568">
                                              <w:marLeft w:val="0"/>
                                              <w:marRight w:val="0"/>
                                              <w:marTop w:val="0"/>
                                              <w:marBottom w:val="0"/>
                                              <w:divBdr>
                                                <w:top w:val="none" w:sz="0" w:space="0" w:color="auto"/>
                                                <w:left w:val="none" w:sz="0" w:space="0" w:color="auto"/>
                                                <w:bottom w:val="none" w:sz="0" w:space="0" w:color="auto"/>
                                                <w:right w:val="none" w:sz="0" w:space="0" w:color="auto"/>
                                              </w:divBdr>
                                            </w:div>
                                            <w:div w:id="1863543624">
                                              <w:marLeft w:val="0"/>
                                              <w:marRight w:val="0"/>
                                              <w:marTop w:val="0"/>
                                              <w:marBottom w:val="0"/>
                                              <w:divBdr>
                                                <w:top w:val="none" w:sz="0" w:space="0" w:color="auto"/>
                                                <w:left w:val="none" w:sz="0" w:space="0" w:color="auto"/>
                                                <w:bottom w:val="none" w:sz="0" w:space="0" w:color="auto"/>
                                                <w:right w:val="none" w:sz="0" w:space="0" w:color="auto"/>
                                              </w:divBdr>
                                            </w:div>
                                            <w:div w:id="1863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3572">
      <w:marLeft w:val="0"/>
      <w:marRight w:val="0"/>
      <w:marTop w:val="0"/>
      <w:marBottom w:val="0"/>
      <w:divBdr>
        <w:top w:val="none" w:sz="0" w:space="0" w:color="auto"/>
        <w:left w:val="none" w:sz="0" w:space="0" w:color="auto"/>
        <w:bottom w:val="none" w:sz="0" w:space="0" w:color="auto"/>
        <w:right w:val="none" w:sz="0" w:space="0" w:color="auto"/>
      </w:divBdr>
    </w:div>
    <w:div w:id="1863543574">
      <w:marLeft w:val="0"/>
      <w:marRight w:val="0"/>
      <w:marTop w:val="0"/>
      <w:marBottom w:val="0"/>
      <w:divBdr>
        <w:top w:val="none" w:sz="0" w:space="0" w:color="auto"/>
        <w:left w:val="none" w:sz="0" w:space="0" w:color="auto"/>
        <w:bottom w:val="none" w:sz="0" w:space="0" w:color="auto"/>
        <w:right w:val="none" w:sz="0" w:space="0" w:color="auto"/>
      </w:divBdr>
    </w:div>
    <w:div w:id="1863543579">
      <w:marLeft w:val="0"/>
      <w:marRight w:val="0"/>
      <w:marTop w:val="0"/>
      <w:marBottom w:val="0"/>
      <w:divBdr>
        <w:top w:val="none" w:sz="0" w:space="0" w:color="auto"/>
        <w:left w:val="none" w:sz="0" w:space="0" w:color="auto"/>
        <w:bottom w:val="none" w:sz="0" w:space="0" w:color="auto"/>
        <w:right w:val="none" w:sz="0" w:space="0" w:color="auto"/>
      </w:divBdr>
    </w:div>
    <w:div w:id="1863543580">
      <w:marLeft w:val="0"/>
      <w:marRight w:val="0"/>
      <w:marTop w:val="0"/>
      <w:marBottom w:val="0"/>
      <w:divBdr>
        <w:top w:val="none" w:sz="0" w:space="0" w:color="auto"/>
        <w:left w:val="none" w:sz="0" w:space="0" w:color="auto"/>
        <w:bottom w:val="none" w:sz="0" w:space="0" w:color="auto"/>
        <w:right w:val="none" w:sz="0" w:space="0" w:color="auto"/>
      </w:divBdr>
    </w:div>
    <w:div w:id="1863543583">
      <w:marLeft w:val="0"/>
      <w:marRight w:val="0"/>
      <w:marTop w:val="0"/>
      <w:marBottom w:val="0"/>
      <w:divBdr>
        <w:top w:val="none" w:sz="0" w:space="0" w:color="auto"/>
        <w:left w:val="none" w:sz="0" w:space="0" w:color="auto"/>
        <w:bottom w:val="none" w:sz="0" w:space="0" w:color="auto"/>
        <w:right w:val="none" w:sz="0" w:space="0" w:color="auto"/>
      </w:divBdr>
    </w:div>
    <w:div w:id="1863543585">
      <w:marLeft w:val="0"/>
      <w:marRight w:val="0"/>
      <w:marTop w:val="0"/>
      <w:marBottom w:val="0"/>
      <w:divBdr>
        <w:top w:val="none" w:sz="0" w:space="0" w:color="auto"/>
        <w:left w:val="none" w:sz="0" w:space="0" w:color="auto"/>
        <w:bottom w:val="none" w:sz="0" w:space="0" w:color="auto"/>
        <w:right w:val="none" w:sz="0" w:space="0" w:color="auto"/>
      </w:divBdr>
    </w:div>
    <w:div w:id="1863543588">
      <w:marLeft w:val="0"/>
      <w:marRight w:val="0"/>
      <w:marTop w:val="0"/>
      <w:marBottom w:val="0"/>
      <w:divBdr>
        <w:top w:val="none" w:sz="0" w:space="0" w:color="auto"/>
        <w:left w:val="none" w:sz="0" w:space="0" w:color="auto"/>
        <w:bottom w:val="none" w:sz="0" w:space="0" w:color="auto"/>
        <w:right w:val="none" w:sz="0" w:space="0" w:color="auto"/>
      </w:divBdr>
    </w:div>
    <w:div w:id="1863543591">
      <w:marLeft w:val="0"/>
      <w:marRight w:val="0"/>
      <w:marTop w:val="0"/>
      <w:marBottom w:val="0"/>
      <w:divBdr>
        <w:top w:val="none" w:sz="0" w:space="0" w:color="auto"/>
        <w:left w:val="none" w:sz="0" w:space="0" w:color="auto"/>
        <w:bottom w:val="none" w:sz="0" w:space="0" w:color="auto"/>
        <w:right w:val="none" w:sz="0" w:space="0" w:color="auto"/>
      </w:divBdr>
    </w:div>
    <w:div w:id="1863543593">
      <w:marLeft w:val="92"/>
      <w:marRight w:val="92"/>
      <w:marTop w:val="35"/>
      <w:marBottom w:val="35"/>
      <w:divBdr>
        <w:top w:val="none" w:sz="0" w:space="0" w:color="auto"/>
        <w:left w:val="none" w:sz="0" w:space="0" w:color="auto"/>
        <w:bottom w:val="none" w:sz="0" w:space="0" w:color="auto"/>
        <w:right w:val="none" w:sz="0" w:space="0" w:color="auto"/>
      </w:divBdr>
      <w:divsChild>
        <w:div w:id="1863543758">
          <w:marLeft w:val="0"/>
          <w:marRight w:val="0"/>
          <w:marTop w:val="0"/>
          <w:marBottom w:val="0"/>
          <w:divBdr>
            <w:top w:val="none" w:sz="0" w:space="0" w:color="auto"/>
            <w:left w:val="none" w:sz="0" w:space="0" w:color="auto"/>
            <w:bottom w:val="none" w:sz="0" w:space="0" w:color="auto"/>
            <w:right w:val="none" w:sz="0" w:space="0" w:color="auto"/>
          </w:divBdr>
          <w:divsChild>
            <w:div w:id="1863543695">
              <w:marLeft w:val="184"/>
              <w:marRight w:val="184"/>
              <w:marTop w:val="0"/>
              <w:marBottom w:val="0"/>
              <w:divBdr>
                <w:top w:val="none" w:sz="0" w:space="0" w:color="auto"/>
                <w:left w:val="none" w:sz="0" w:space="0" w:color="auto"/>
                <w:bottom w:val="none" w:sz="0" w:space="0" w:color="auto"/>
                <w:right w:val="none" w:sz="0" w:space="0" w:color="auto"/>
              </w:divBdr>
              <w:divsChild>
                <w:div w:id="186354370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863543594">
      <w:marLeft w:val="0"/>
      <w:marRight w:val="0"/>
      <w:marTop w:val="0"/>
      <w:marBottom w:val="0"/>
      <w:divBdr>
        <w:top w:val="none" w:sz="0" w:space="0" w:color="auto"/>
        <w:left w:val="none" w:sz="0" w:space="0" w:color="auto"/>
        <w:bottom w:val="none" w:sz="0" w:space="0" w:color="auto"/>
        <w:right w:val="none" w:sz="0" w:space="0" w:color="auto"/>
      </w:divBdr>
    </w:div>
    <w:div w:id="1863543596">
      <w:marLeft w:val="0"/>
      <w:marRight w:val="0"/>
      <w:marTop w:val="0"/>
      <w:marBottom w:val="0"/>
      <w:divBdr>
        <w:top w:val="none" w:sz="0" w:space="0" w:color="auto"/>
        <w:left w:val="none" w:sz="0" w:space="0" w:color="auto"/>
        <w:bottom w:val="none" w:sz="0" w:space="0" w:color="auto"/>
        <w:right w:val="none" w:sz="0" w:space="0" w:color="auto"/>
      </w:divBdr>
    </w:div>
    <w:div w:id="1863543601">
      <w:marLeft w:val="0"/>
      <w:marRight w:val="0"/>
      <w:marTop w:val="0"/>
      <w:marBottom w:val="0"/>
      <w:divBdr>
        <w:top w:val="none" w:sz="0" w:space="0" w:color="auto"/>
        <w:left w:val="none" w:sz="0" w:space="0" w:color="auto"/>
        <w:bottom w:val="none" w:sz="0" w:space="0" w:color="auto"/>
        <w:right w:val="none" w:sz="0" w:space="0" w:color="auto"/>
      </w:divBdr>
    </w:div>
    <w:div w:id="1863543603">
      <w:marLeft w:val="0"/>
      <w:marRight w:val="0"/>
      <w:marTop w:val="0"/>
      <w:marBottom w:val="0"/>
      <w:divBdr>
        <w:top w:val="none" w:sz="0" w:space="0" w:color="auto"/>
        <w:left w:val="none" w:sz="0" w:space="0" w:color="auto"/>
        <w:bottom w:val="none" w:sz="0" w:space="0" w:color="auto"/>
        <w:right w:val="none" w:sz="0" w:space="0" w:color="auto"/>
      </w:divBdr>
    </w:div>
    <w:div w:id="1863543607">
      <w:marLeft w:val="0"/>
      <w:marRight w:val="0"/>
      <w:marTop w:val="0"/>
      <w:marBottom w:val="0"/>
      <w:divBdr>
        <w:top w:val="none" w:sz="0" w:space="0" w:color="auto"/>
        <w:left w:val="none" w:sz="0" w:space="0" w:color="auto"/>
        <w:bottom w:val="none" w:sz="0" w:space="0" w:color="auto"/>
        <w:right w:val="none" w:sz="0" w:space="0" w:color="auto"/>
      </w:divBdr>
    </w:div>
    <w:div w:id="1863543609">
      <w:marLeft w:val="0"/>
      <w:marRight w:val="0"/>
      <w:marTop w:val="0"/>
      <w:marBottom w:val="0"/>
      <w:divBdr>
        <w:top w:val="none" w:sz="0" w:space="0" w:color="auto"/>
        <w:left w:val="none" w:sz="0" w:space="0" w:color="auto"/>
        <w:bottom w:val="none" w:sz="0" w:space="0" w:color="auto"/>
        <w:right w:val="none" w:sz="0" w:space="0" w:color="auto"/>
      </w:divBdr>
    </w:div>
    <w:div w:id="1863543612">
      <w:marLeft w:val="0"/>
      <w:marRight w:val="0"/>
      <w:marTop w:val="0"/>
      <w:marBottom w:val="0"/>
      <w:divBdr>
        <w:top w:val="none" w:sz="0" w:space="0" w:color="auto"/>
        <w:left w:val="none" w:sz="0" w:space="0" w:color="auto"/>
        <w:bottom w:val="none" w:sz="0" w:space="0" w:color="auto"/>
        <w:right w:val="none" w:sz="0" w:space="0" w:color="auto"/>
      </w:divBdr>
    </w:div>
    <w:div w:id="1863543614">
      <w:marLeft w:val="0"/>
      <w:marRight w:val="0"/>
      <w:marTop w:val="0"/>
      <w:marBottom w:val="0"/>
      <w:divBdr>
        <w:top w:val="none" w:sz="0" w:space="0" w:color="auto"/>
        <w:left w:val="none" w:sz="0" w:space="0" w:color="auto"/>
        <w:bottom w:val="none" w:sz="0" w:space="0" w:color="auto"/>
        <w:right w:val="none" w:sz="0" w:space="0" w:color="auto"/>
      </w:divBdr>
    </w:div>
    <w:div w:id="1863543616">
      <w:marLeft w:val="0"/>
      <w:marRight w:val="0"/>
      <w:marTop w:val="0"/>
      <w:marBottom w:val="0"/>
      <w:divBdr>
        <w:top w:val="none" w:sz="0" w:space="0" w:color="auto"/>
        <w:left w:val="none" w:sz="0" w:space="0" w:color="auto"/>
        <w:bottom w:val="none" w:sz="0" w:space="0" w:color="auto"/>
        <w:right w:val="none" w:sz="0" w:space="0" w:color="auto"/>
      </w:divBdr>
    </w:div>
    <w:div w:id="1863543617">
      <w:marLeft w:val="0"/>
      <w:marRight w:val="0"/>
      <w:marTop w:val="0"/>
      <w:marBottom w:val="0"/>
      <w:divBdr>
        <w:top w:val="none" w:sz="0" w:space="0" w:color="auto"/>
        <w:left w:val="none" w:sz="0" w:space="0" w:color="auto"/>
        <w:bottom w:val="none" w:sz="0" w:space="0" w:color="auto"/>
        <w:right w:val="none" w:sz="0" w:space="0" w:color="auto"/>
      </w:divBdr>
    </w:div>
    <w:div w:id="1863543621">
      <w:marLeft w:val="0"/>
      <w:marRight w:val="0"/>
      <w:marTop w:val="0"/>
      <w:marBottom w:val="0"/>
      <w:divBdr>
        <w:top w:val="none" w:sz="0" w:space="0" w:color="auto"/>
        <w:left w:val="none" w:sz="0" w:space="0" w:color="auto"/>
        <w:bottom w:val="none" w:sz="0" w:space="0" w:color="auto"/>
        <w:right w:val="none" w:sz="0" w:space="0" w:color="auto"/>
      </w:divBdr>
      <w:divsChild>
        <w:div w:id="1863543598">
          <w:marLeft w:val="1166"/>
          <w:marRight w:val="0"/>
          <w:marTop w:val="86"/>
          <w:marBottom w:val="0"/>
          <w:divBdr>
            <w:top w:val="none" w:sz="0" w:space="0" w:color="auto"/>
            <w:left w:val="none" w:sz="0" w:space="0" w:color="auto"/>
            <w:bottom w:val="none" w:sz="0" w:space="0" w:color="auto"/>
            <w:right w:val="none" w:sz="0" w:space="0" w:color="auto"/>
          </w:divBdr>
        </w:div>
        <w:div w:id="1863543600">
          <w:marLeft w:val="1166"/>
          <w:marRight w:val="0"/>
          <w:marTop w:val="86"/>
          <w:marBottom w:val="0"/>
          <w:divBdr>
            <w:top w:val="none" w:sz="0" w:space="0" w:color="auto"/>
            <w:left w:val="none" w:sz="0" w:space="0" w:color="auto"/>
            <w:bottom w:val="none" w:sz="0" w:space="0" w:color="auto"/>
            <w:right w:val="none" w:sz="0" w:space="0" w:color="auto"/>
          </w:divBdr>
        </w:div>
        <w:div w:id="1863543664">
          <w:marLeft w:val="547"/>
          <w:marRight w:val="0"/>
          <w:marTop w:val="96"/>
          <w:marBottom w:val="0"/>
          <w:divBdr>
            <w:top w:val="none" w:sz="0" w:space="0" w:color="auto"/>
            <w:left w:val="none" w:sz="0" w:space="0" w:color="auto"/>
            <w:bottom w:val="none" w:sz="0" w:space="0" w:color="auto"/>
            <w:right w:val="none" w:sz="0" w:space="0" w:color="auto"/>
          </w:divBdr>
        </w:div>
        <w:div w:id="1863543697">
          <w:marLeft w:val="1166"/>
          <w:marRight w:val="0"/>
          <w:marTop w:val="86"/>
          <w:marBottom w:val="0"/>
          <w:divBdr>
            <w:top w:val="none" w:sz="0" w:space="0" w:color="auto"/>
            <w:left w:val="none" w:sz="0" w:space="0" w:color="auto"/>
            <w:bottom w:val="none" w:sz="0" w:space="0" w:color="auto"/>
            <w:right w:val="none" w:sz="0" w:space="0" w:color="auto"/>
          </w:divBdr>
        </w:div>
        <w:div w:id="1863543720">
          <w:marLeft w:val="1166"/>
          <w:marRight w:val="0"/>
          <w:marTop w:val="86"/>
          <w:marBottom w:val="0"/>
          <w:divBdr>
            <w:top w:val="none" w:sz="0" w:space="0" w:color="auto"/>
            <w:left w:val="none" w:sz="0" w:space="0" w:color="auto"/>
            <w:bottom w:val="none" w:sz="0" w:space="0" w:color="auto"/>
            <w:right w:val="none" w:sz="0" w:space="0" w:color="auto"/>
          </w:divBdr>
        </w:div>
      </w:divsChild>
    </w:div>
    <w:div w:id="1863543623">
      <w:marLeft w:val="0"/>
      <w:marRight w:val="0"/>
      <w:marTop w:val="0"/>
      <w:marBottom w:val="0"/>
      <w:divBdr>
        <w:top w:val="none" w:sz="0" w:space="0" w:color="auto"/>
        <w:left w:val="none" w:sz="0" w:space="0" w:color="auto"/>
        <w:bottom w:val="none" w:sz="0" w:space="0" w:color="auto"/>
        <w:right w:val="none" w:sz="0" w:space="0" w:color="auto"/>
      </w:divBdr>
    </w:div>
    <w:div w:id="1863543625">
      <w:marLeft w:val="0"/>
      <w:marRight w:val="0"/>
      <w:marTop w:val="0"/>
      <w:marBottom w:val="0"/>
      <w:divBdr>
        <w:top w:val="none" w:sz="0" w:space="0" w:color="auto"/>
        <w:left w:val="none" w:sz="0" w:space="0" w:color="auto"/>
        <w:bottom w:val="none" w:sz="0" w:space="0" w:color="auto"/>
        <w:right w:val="none" w:sz="0" w:space="0" w:color="auto"/>
      </w:divBdr>
    </w:div>
    <w:div w:id="1863543630">
      <w:marLeft w:val="0"/>
      <w:marRight w:val="0"/>
      <w:marTop w:val="0"/>
      <w:marBottom w:val="0"/>
      <w:divBdr>
        <w:top w:val="none" w:sz="0" w:space="0" w:color="auto"/>
        <w:left w:val="none" w:sz="0" w:space="0" w:color="auto"/>
        <w:bottom w:val="none" w:sz="0" w:space="0" w:color="auto"/>
        <w:right w:val="none" w:sz="0" w:space="0" w:color="auto"/>
      </w:divBdr>
      <w:divsChild>
        <w:div w:id="1863543649">
          <w:marLeft w:val="0"/>
          <w:marRight w:val="0"/>
          <w:marTop w:val="0"/>
          <w:marBottom w:val="0"/>
          <w:divBdr>
            <w:top w:val="none" w:sz="0" w:space="0" w:color="auto"/>
            <w:left w:val="single" w:sz="2" w:space="0" w:color="CCCCCC"/>
            <w:bottom w:val="single" w:sz="2" w:space="0" w:color="CCCCCC"/>
            <w:right w:val="single" w:sz="2" w:space="0" w:color="CCCCCC"/>
          </w:divBdr>
          <w:divsChild>
            <w:div w:id="1863543753">
              <w:marLeft w:val="0"/>
              <w:marRight w:val="0"/>
              <w:marTop w:val="0"/>
              <w:marBottom w:val="0"/>
              <w:divBdr>
                <w:top w:val="none" w:sz="0" w:space="0" w:color="auto"/>
                <w:left w:val="none" w:sz="0" w:space="0" w:color="auto"/>
                <w:bottom w:val="none" w:sz="0" w:space="0" w:color="auto"/>
                <w:right w:val="none" w:sz="0" w:space="0" w:color="auto"/>
              </w:divBdr>
              <w:divsChild>
                <w:div w:id="1863543684">
                  <w:marLeft w:val="0"/>
                  <w:marRight w:val="0"/>
                  <w:marTop w:val="0"/>
                  <w:marBottom w:val="0"/>
                  <w:divBdr>
                    <w:top w:val="none" w:sz="0" w:space="0" w:color="auto"/>
                    <w:left w:val="none" w:sz="0" w:space="0" w:color="auto"/>
                    <w:bottom w:val="none" w:sz="0" w:space="0" w:color="auto"/>
                    <w:right w:val="none" w:sz="0" w:space="0" w:color="auto"/>
                  </w:divBdr>
                  <w:divsChild>
                    <w:div w:id="1863543577">
                      <w:marLeft w:val="128"/>
                      <w:marRight w:val="72"/>
                      <w:marTop w:val="80"/>
                      <w:marBottom w:val="0"/>
                      <w:divBdr>
                        <w:top w:val="none" w:sz="0" w:space="0" w:color="auto"/>
                        <w:left w:val="none" w:sz="0" w:space="0" w:color="auto"/>
                        <w:bottom w:val="none" w:sz="0" w:space="0" w:color="auto"/>
                        <w:right w:val="none" w:sz="0" w:space="0" w:color="auto"/>
                      </w:divBdr>
                      <w:divsChild>
                        <w:div w:id="1863543685">
                          <w:marLeft w:val="0"/>
                          <w:marRight w:val="0"/>
                          <w:marTop w:val="0"/>
                          <w:marBottom w:val="0"/>
                          <w:divBdr>
                            <w:top w:val="none" w:sz="0" w:space="0" w:color="auto"/>
                            <w:left w:val="none" w:sz="0" w:space="0" w:color="auto"/>
                            <w:bottom w:val="none" w:sz="0" w:space="0" w:color="auto"/>
                            <w:right w:val="none" w:sz="0" w:space="0" w:color="auto"/>
                          </w:divBdr>
                          <w:divsChild>
                            <w:div w:id="1863543602">
                              <w:marLeft w:val="0"/>
                              <w:marRight w:val="0"/>
                              <w:marTop w:val="0"/>
                              <w:marBottom w:val="0"/>
                              <w:divBdr>
                                <w:top w:val="none" w:sz="0" w:space="0" w:color="auto"/>
                                <w:left w:val="none" w:sz="0" w:space="0" w:color="auto"/>
                                <w:bottom w:val="none" w:sz="0" w:space="0" w:color="auto"/>
                                <w:right w:val="none" w:sz="0" w:space="0" w:color="auto"/>
                              </w:divBdr>
                            </w:div>
                            <w:div w:id="1863543631">
                              <w:marLeft w:val="0"/>
                              <w:marRight w:val="0"/>
                              <w:marTop w:val="0"/>
                              <w:marBottom w:val="0"/>
                              <w:divBdr>
                                <w:top w:val="none" w:sz="0" w:space="0" w:color="auto"/>
                                <w:left w:val="none" w:sz="0" w:space="0" w:color="auto"/>
                                <w:bottom w:val="none" w:sz="0" w:space="0" w:color="auto"/>
                                <w:right w:val="none" w:sz="0" w:space="0" w:color="auto"/>
                              </w:divBdr>
                            </w:div>
                            <w:div w:id="1863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32">
      <w:marLeft w:val="0"/>
      <w:marRight w:val="0"/>
      <w:marTop w:val="0"/>
      <w:marBottom w:val="0"/>
      <w:divBdr>
        <w:top w:val="none" w:sz="0" w:space="0" w:color="auto"/>
        <w:left w:val="none" w:sz="0" w:space="0" w:color="auto"/>
        <w:bottom w:val="none" w:sz="0" w:space="0" w:color="auto"/>
        <w:right w:val="none" w:sz="0" w:space="0" w:color="auto"/>
      </w:divBdr>
    </w:div>
    <w:div w:id="1863543634">
      <w:marLeft w:val="0"/>
      <w:marRight w:val="0"/>
      <w:marTop w:val="0"/>
      <w:marBottom w:val="0"/>
      <w:divBdr>
        <w:top w:val="none" w:sz="0" w:space="0" w:color="auto"/>
        <w:left w:val="none" w:sz="0" w:space="0" w:color="auto"/>
        <w:bottom w:val="none" w:sz="0" w:space="0" w:color="auto"/>
        <w:right w:val="none" w:sz="0" w:space="0" w:color="auto"/>
      </w:divBdr>
    </w:div>
    <w:div w:id="1863543638">
      <w:marLeft w:val="0"/>
      <w:marRight w:val="0"/>
      <w:marTop w:val="0"/>
      <w:marBottom w:val="0"/>
      <w:divBdr>
        <w:top w:val="none" w:sz="0" w:space="0" w:color="auto"/>
        <w:left w:val="none" w:sz="0" w:space="0" w:color="auto"/>
        <w:bottom w:val="none" w:sz="0" w:space="0" w:color="auto"/>
        <w:right w:val="none" w:sz="0" w:space="0" w:color="auto"/>
      </w:divBdr>
    </w:div>
    <w:div w:id="1863543639">
      <w:marLeft w:val="0"/>
      <w:marRight w:val="0"/>
      <w:marTop w:val="0"/>
      <w:marBottom w:val="0"/>
      <w:divBdr>
        <w:top w:val="none" w:sz="0" w:space="0" w:color="auto"/>
        <w:left w:val="none" w:sz="0" w:space="0" w:color="auto"/>
        <w:bottom w:val="none" w:sz="0" w:space="0" w:color="auto"/>
        <w:right w:val="none" w:sz="0" w:space="0" w:color="auto"/>
      </w:divBdr>
    </w:div>
    <w:div w:id="1863543641">
      <w:marLeft w:val="0"/>
      <w:marRight w:val="0"/>
      <w:marTop w:val="0"/>
      <w:marBottom w:val="0"/>
      <w:divBdr>
        <w:top w:val="none" w:sz="0" w:space="0" w:color="auto"/>
        <w:left w:val="none" w:sz="0" w:space="0" w:color="auto"/>
        <w:bottom w:val="none" w:sz="0" w:space="0" w:color="auto"/>
        <w:right w:val="none" w:sz="0" w:space="0" w:color="auto"/>
      </w:divBdr>
    </w:div>
    <w:div w:id="1863543642">
      <w:marLeft w:val="0"/>
      <w:marRight w:val="0"/>
      <w:marTop w:val="0"/>
      <w:marBottom w:val="0"/>
      <w:divBdr>
        <w:top w:val="none" w:sz="0" w:space="0" w:color="auto"/>
        <w:left w:val="none" w:sz="0" w:space="0" w:color="auto"/>
        <w:bottom w:val="none" w:sz="0" w:space="0" w:color="auto"/>
        <w:right w:val="none" w:sz="0" w:space="0" w:color="auto"/>
      </w:divBdr>
      <w:divsChild>
        <w:div w:id="1863543650">
          <w:marLeft w:val="0"/>
          <w:marRight w:val="0"/>
          <w:marTop w:val="0"/>
          <w:marBottom w:val="0"/>
          <w:divBdr>
            <w:top w:val="none" w:sz="0" w:space="0" w:color="auto"/>
            <w:left w:val="none" w:sz="0" w:space="0" w:color="auto"/>
            <w:bottom w:val="none" w:sz="0" w:space="0" w:color="auto"/>
            <w:right w:val="none" w:sz="0" w:space="0" w:color="auto"/>
          </w:divBdr>
          <w:divsChild>
            <w:div w:id="1863543575">
              <w:marLeft w:val="0"/>
              <w:marRight w:val="0"/>
              <w:marTop w:val="100"/>
              <w:marBottom w:val="100"/>
              <w:divBdr>
                <w:top w:val="none" w:sz="0" w:space="0" w:color="auto"/>
                <w:left w:val="none" w:sz="0" w:space="0" w:color="auto"/>
                <w:bottom w:val="none" w:sz="0" w:space="0" w:color="auto"/>
                <w:right w:val="none" w:sz="0" w:space="0" w:color="auto"/>
              </w:divBdr>
              <w:divsChild>
                <w:div w:id="1863543754">
                  <w:marLeft w:val="0"/>
                  <w:marRight w:val="0"/>
                  <w:marTop w:val="0"/>
                  <w:marBottom w:val="0"/>
                  <w:divBdr>
                    <w:top w:val="none" w:sz="0" w:space="0" w:color="auto"/>
                    <w:left w:val="none" w:sz="0" w:space="0" w:color="auto"/>
                    <w:bottom w:val="none" w:sz="0" w:space="0" w:color="auto"/>
                    <w:right w:val="none" w:sz="0" w:space="0" w:color="auto"/>
                  </w:divBdr>
                  <w:divsChild>
                    <w:div w:id="1863543732">
                      <w:marLeft w:val="0"/>
                      <w:marRight w:val="0"/>
                      <w:marTop w:val="0"/>
                      <w:marBottom w:val="0"/>
                      <w:divBdr>
                        <w:top w:val="none" w:sz="0" w:space="0" w:color="auto"/>
                        <w:left w:val="none" w:sz="0" w:space="0" w:color="auto"/>
                        <w:bottom w:val="none" w:sz="0" w:space="0" w:color="auto"/>
                        <w:right w:val="none" w:sz="0" w:space="0" w:color="auto"/>
                      </w:divBdr>
                      <w:divsChild>
                        <w:div w:id="1863543620">
                          <w:marLeft w:val="0"/>
                          <w:marRight w:val="0"/>
                          <w:marTop w:val="0"/>
                          <w:marBottom w:val="0"/>
                          <w:divBdr>
                            <w:top w:val="none" w:sz="0" w:space="0" w:color="auto"/>
                            <w:left w:val="none" w:sz="0" w:space="0" w:color="auto"/>
                            <w:bottom w:val="none" w:sz="0" w:space="0" w:color="auto"/>
                            <w:right w:val="none" w:sz="0" w:space="0" w:color="auto"/>
                          </w:divBdr>
                          <w:divsChild>
                            <w:div w:id="1863543770">
                              <w:marLeft w:val="1560"/>
                              <w:marRight w:val="1560"/>
                              <w:marTop w:val="0"/>
                              <w:marBottom w:val="0"/>
                              <w:divBdr>
                                <w:top w:val="none" w:sz="0" w:space="0" w:color="auto"/>
                                <w:left w:val="none" w:sz="0" w:space="0" w:color="auto"/>
                                <w:bottom w:val="none" w:sz="0" w:space="0" w:color="auto"/>
                                <w:right w:val="none" w:sz="0" w:space="0" w:color="auto"/>
                              </w:divBdr>
                              <w:divsChild>
                                <w:div w:id="1863543763">
                                  <w:marLeft w:val="0"/>
                                  <w:marRight w:val="0"/>
                                  <w:marTop w:val="0"/>
                                  <w:marBottom w:val="0"/>
                                  <w:divBdr>
                                    <w:top w:val="none" w:sz="0" w:space="0" w:color="auto"/>
                                    <w:left w:val="none" w:sz="0" w:space="0" w:color="auto"/>
                                    <w:bottom w:val="none" w:sz="0" w:space="0" w:color="auto"/>
                                    <w:right w:val="none" w:sz="0" w:space="0" w:color="auto"/>
                                  </w:divBdr>
                                  <w:divsChild>
                                    <w:div w:id="1863543619">
                                      <w:marLeft w:val="0"/>
                                      <w:marRight w:val="0"/>
                                      <w:marTop w:val="0"/>
                                      <w:marBottom w:val="0"/>
                                      <w:divBdr>
                                        <w:top w:val="none" w:sz="0" w:space="0" w:color="auto"/>
                                        <w:left w:val="none" w:sz="0" w:space="0" w:color="auto"/>
                                        <w:bottom w:val="none" w:sz="0" w:space="0" w:color="auto"/>
                                        <w:right w:val="none" w:sz="0" w:space="0" w:color="auto"/>
                                      </w:divBdr>
                                      <w:divsChild>
                                        <w:div w:id="1863543671">
                                          <w:marLeft w:val="0"/>
                                          <w:marRight w:val="0"/>
                                          <w:marTop w:val="0"/>
                                          <w:marBottom w:val="0"/>
                                          <w:divBdr>
                                            <w:top w:val="none" w:sz="0" w:space="0" w:color="auto"/>
                                            <w:left w:val="none" w:sz="0" w:space="0" w:color="auto"/>
                                            <w:bottom w:val="none" w:sz="0" w:space="0" w:color="auto"/>
                                            <w:right w:val="none" w:sz="0" w:space="0" w:color="auto"/>
                                          </w:divBdr>
                                          <w:divsChild>
                                            <w:div w:id="1863543613">
                                              <w:marLeft w:val="0"/>
                                              <w:marRight w:val="0"/>
                                              <w:marTop w:val="0"/>
                                              <w:marBottom w:val="0"/>
                                              <w:divBdr>
                                                <w:top w:val="none" w:sz="0" w:space="0" w:color="auto"/>
                                                <w:left w:val="none" w:sz="0" w:space="0" w:color="auto"/>
                                                <w:bottom w:val="none" w:sz="0" w:space="0" w:color="auto"/>
                                                <w:right w:val="none" w:sz="0" w:space="0" w:color="auto"/>
                                              </w:divBdr>
                                              <w:divsChild>
                                                <w:div w:id="1863543693">
                                                  <w:marLeft w:val="0"/>
                                                  <w:marRight w:val="0"/>
                                                  <w:marTop w:val="0"/>
                                                  <w:marBottom w:val="0"/>
                                                  <w:divBdr>
                                                    <w:top w:val="none" w:sz="0" w:space="0" w:color="auto"/>
                                                    <w:left w:val="none" w:sz="0" w:space="0" w:color="auto"/>
                                                    <w:bottom w:val="none" w:sz="0" w:space="0" w:color="auto"/>
                                                    <w:right w:val="none" w:sz="0" w:space="0" w:color="auto"/>
                                                  </w:divBdr>
                                                  <w:divsChild>
                                                    <w:div w:id="1863543648">
                                                      <w:marLeft w:val="0"/>
                                                      <w:marRight w:val="0"/>
                                                      <w:marTop w:val="0"/>
                                                      <w:marBottom w:val="0"/>
                                                      <w:divBdr>
                                                        <w:top w:val="none" w:sz="0" w:space="0" w:color="auto"/>
                                                        <w:left w:val="none" w:sz="0" w:space="0" w:color="auto"/>
                                                        <w:bottom w:val="none" w:sz="0" w:space="0" w:color="auto"/>
                                                        <w:right w:val="none" w:sz="0" w:space="0" w:color="auto"/>
                                                      </w:divBdr>
                                                      <w:divsChild>
                                                        <w:div w:id="1863543562">
                                                          <w:marLeft w:val="0"/>
                                                          <w:marRight w:val="0"/>
                                                          <w:marTop w:val="0"/>
                                                          <w:marBottom w:val="0"/>
                                                          <w:divBdr>
                                                            <w:top w:val="none" w:sz="0" w:space="0" w:color="auto"/>
                                                            <w:left w:val="none" w:sz="0" w:space="0" w:color="auto"/>
                                                            <w:bottom w:val="none" w:sz="0" w:space="0" w:color="auto"/>
                                                            <w:right w:val="none" w:sz="0" w:space="0" w:color="auto"/>
                                                          </w:divBdr>
                                                          <w:divsChild>
                                                            <w:div w:id="1863543637">
                                                              <w:marLeft w:val="0"/>
                                                              <w:marRight w:val="0"/>
                                                              <w:marTop w:val="0"/>
                                                              <w:marBottom w:val="0"/>
                                                              <w:divBdr>
                                                                <w:top w:val="none" w:sz="0" w:space="0" w:color="auto"/>
                                                                <w:left w:val="none" w:sz="0" w:space="0" w:color="auto"/>
                                                                <w:bottom w:val="none" w:sz="0" w:space="0" w:color="auto"/>
                                                                <w:right w:val="none" w:sz="0" w:space="0" w:color="auto"/>
                                                              </w:divBdr>
                                                              <w:divsChild>
                                                                <w:div w:id="1863543699">
                                                                  <w:marLeft w:val="0"/>
                                                                  <w:marRight w:val="0"/>
                                                                  <w:marTop w:val="0"/>
                                                                  <w:marBottom w:val="0"/>
                                                                  <w:divBdr>
                                                                    <w:top w:val="none" w:sz="0" w:space="0" w:color="auto"/>
                                                                    <w:left w:val="none" w:sz="0" w:space="0" w:color="auto"/>
                                                                    <w:bottom w:val="none" w:sz="0" w:space="0" w:color="auto"/>
                                                                    <w:right w:val="none" w:sz="0" w:space="0" w:color="auto"/>
                                                                  </w:divBdr>
                                                                  <w:divsChild>
                                                                    <w:div w:id="1863543651">
                                                                      <w:marLeft w:val="0"/>
                                                                      <w:marRight w:val="0"/>
                                                                      <w:marTop w:val="0"/>
                                                                      <w:marBottom w:val="0"/>
                                                                      <w:divBdr>
                                                                        <w:top w:val="none" w:sz="0" w:space="0" w:color="auto"/>
                                                                        <w:left w:val="none" w:sz="0" w:space="0" w:color="auto"/>
                                                                        <w:bottom w:val="none" w:sz="0" w:space="0" w:color="auto"/>
                                                                        <w:right w:val="none" w:sz="0" w:space="0" w:color="auto"/>
                                                                      </w:divBdr>
                                                                    </w:div>
                                                                  </w:divsChild>
                                                                </w:div>
                                                                <w:div w:id="1863543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543647">
      <w:marLeft w:val="0"/>
      <w:marRight w:val="0"/>
      <w:marTop w:val="0"/>
      <w:marBottom w:val="0"/>
      <w:divBdr>
        <w:top w:val="none" w:sz="0" w:space="0" w:color="auto"/>
        <w:left w:val="none" w:sz="0" w:space="0" w:color="auto"/>
        <w:bottom w:val="none" w:sz="0" w:space="0" w:color="auto"/>
        <w:right w:val="none" w:sz="0" w:space="0" w:color="auto"/>
      </w:divBdr>
    </w:div>
    <w:div w:id="1863543653">
      <w:marLeft w:val="0"/>
      <w:marRight w:val="0"/>
      <w:marTop w:val="0"/>
      <w:marBottom w:val="0"/>
      <w:divBdr>
        <w:top w:val="none" w:sz="0" w:space="0" w:color="auto"/>
        <w:left w:val="none" w:sz="0" w:space="0" w:color="auto"/>
        <w:bottom w:val="none" w:sz="0" w:space="0" w:color="auto"/>
        <w:right w:val="none" w:sz="0" w:space="0" w:color="auto"/>
      </w:divBdr>
    </w:div>
    <w:div w:id="1863543654">
      <w:marLeft w:val="0"/>
      <w:marRight w:val="0"/>
      <w:marTop w:val="0"/>
      <w:marBottom w:val="0"/>
      <w:divBdr>
        <w:top w:val="none" w:sz="0" w:space="0" w:color="auto"/>
        <w:left w:val="none" w:sz="0" w:space="0" w:color="auto"/>
        <w:bottom w:val="none" w:sz="0" w:space="0" w:color="auto"/>
        <w:right w:val="none" w:sz="0" w:space="0" w:color="auto"/>
      </w:divBdr>
    </w:div>
    <w:div w:id="1863543655">
      <w:marLeft w:val="0"/>
      <w:marRight w:val="0"/>
      <w:marTop w:val="0"/>
      <w:marBottom w:val="0"/>
      <w:divBdr>
        <w:top w:val="none" w:sz="0" w:space="0" w:color="auto"/>
        <w:left w:val="none" w:sz="0" w:space="0" w:color="auto"/>
        <w:bottom w:val="none" w:sz="0" w:space="0" w:color="auto"/>
        <w:right w:val="none" w:sz="0" w:space="0" w:color="auto"/>
      </w:divBdr>
    </w:div>
    <w:div w:id="1863543656">
      <w:marLeft w:val="0"/>
      <w:marRight w:val="0"/>
      <w:marTop w:val="0"/>
      <w:marBottom w:val="0"/>
      <w:divBdr>
        <w:top w:val="none" w:sz="0" w:space="0" w:color="auto"/>
        <w:left w:val="none" w:sz="0" w:space="0" w:color="auto"/>
        <w:bottom w:val="none" w:sz="0" w:space="0" w:color="auto"/>
        <w:right w:val="none" w:sz="0" w:space="0" w:color="auto"/>
      </w:divBdr>
      <w:divsChild>
        <w:div w:id="1863543756">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43">
              <w:marLeft w:val="0"/>
              <w:marRight w:val="0"/>
              <w:marTop w:val="0"/>
              <w:marBottom w:val="0"/>
              <w:divBdr>
                <w:top w:val="none" w:sz="0" w:space="0" w:color="auto"/>
                <w:left w:val="none" w:sz="0" w:space="0" w:color="auto"/>
                <w:bottom w:val="none" w:sz="0" w:space="0" w:color="auto"/>
                <w:right w:val="none" w:sz="0" w:space="0" w:color="auto"/>
              </w:divBdr>
              <w:divsChild>
                <w:div w:id="1863543660">
                  <w:marLeft w:val="0"/>
                  <w:marRight w:val="0"/>
                  <w:marTop w:val="0"/>
                  <w:marBottom w:val="0"/>
                  <w:divBdr>
                    <w:top w:val="none" w:sz="0" w:space="0" w:color="auto"/>
                    <w:left w:val="none" w:sz="0" w:space="0" w:color="auto"/>
                    <w:bottom w:val="none" w:sz="0" w:space="0" w:color="auto"/>
                    <w:right w:val="none" w:sz="0" w:space="0" w:color="auto"/>
                  </w:divBdr>
                  <w:divsChild>
                    <w:div w:id="1863543691">
                      <w:marLeft w:val="0"/>
                      <w:marRight w:val="0"/>
                      <w:marTop w:val="80"/>
                      <w:marBottom w:val="0"/>
                      <w:divBdr>
                        <w:top w:val="none" w:sz="0" w:space="0" w:color="auto"/>
                        <w:left w:val="none" w:sz="0" w:space="0" w:color="auto"/>
                        <w:bottom w:val="none" w:sz="0" w:space="0" w:color="auto"/>
                        <w:right w:val="none" w:sz="0" w:space="0" w:color="auto"/>
                      </w:divBdr>
                      <w:divsChild>
                        <w:div w:id="1863543775">
                          <w:marLeft w:val="0"/>
                          <w:marRight w:val="0"/>
                          <w:marTop w:val="0"/>
                          <w:marBottom w:val="0"/>
                          <w:divBdr>
                            <w:top w:val="none" w:sz="0" w:space="0" w:color="auto"/>
                            <w:left w:val="none" w:sz="0" w:space="0" w:color="auto"/>
                            <w:bottom w:val="none" w:sz="0" w:space="0" w:color="auto"/>
                            <w:right w:val="none" w:sz="0" w:space="0" w:color="auto"/>
                          </w:divBdr>
                          <w:divsChild>
                            <w:div w:id="1863543615">
                              <w:marLeft w:val="0"/>
                              <w:marRight w:val="0"/>
                              <w:marTop w:val="16"/>
                              <w:marBottom w:val="16"/>
                              <w:divBdr>
                                <w:top w:val="none" w:sz="0" w:space="0" w:color="auto"/>
                                <w:left w:val="none" w:sz="0" w:space="0" w:color="auto"/>
                                <w:bottom w:val="none" w:sz="0" w:space="0" w:color="auto"/>
                                <w:right w:val="none" w:sz="0" w:space="0" w:color="auto"/>
                              </w:divBdr>
                            </w:div>
                            <w:div w:id="1863543644">
                              <w:marLeft w:val="0"/>
                              <w:marRight w:val="0"/>
                              <w:marTop w:val="40"/>
                              <w:marBottom w:val="0"/>
                              <w:divBdr>
                                <w:top w:val="none" w:sz="0" w:space="0" w:color="auto"/>
                                <w:left w:val="none" w:sz="0" w:space="0" w:color="auto"/>
                                <w:bottom w:val="none" w:sz="0" w:space="0" w:color="auto"/>
                                <w:right w:val="none" w:sz="0" w:space="0" w:color="auto"/>
                              </w:divBdr>
                            </w:div>
                            <w:div w:id="1863543704">
                              <w:marLeft w:val="0"/>
                              <w:marRight w:val="0"/>
                              <w:marTop w:val="0"/>
                              <w:marBottom w:val="152"/>
                              <w:divBdr>
                                <w:top w:val="none" w:sz="0" w:space="0" w:color="auto"/>
                                <w:left w:val="none" w:sz="0" w:space="0" w:color="auto"/>
                                <w:bottom w:val="none" w:sz="0" w:space="0" w:color="auto"/>
                                <w:right w:val="none" w:sz="0" w:space="0" w:color="auto"/>
                              </w:divBdr>
                            </w:div>
                            <w:div w:id="186354372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58">
      <w:marLeft w:val="0"/>
      <w:marRight w:val="0"/>
      <w:marTop w:val="0"/>
      <w:marBottom w:val="0"/>
      <w:divBdr>
        <w:top w:val="none" w:sz="0" w:space="0" w:color="auto"/>
        <w:left w:val="none" w:sz="0" w:space="0" w:color="auto"/>
        <w:bottom w:val="none" w:sz="0" w:space="0" w:color="auto"/>
        <w:right w:val="none" w:sz="0" w:space="0" w:color="auto"/>
      </w:divBdr>
      <w:divsChild>
        <w:div w:id="1863543657">
          <w:marLeft w:val="0"/>
          <w:marRight w:val="0"/>
          <w:marTop w:val="0"/>
          <w:marBottom w:val="0"/>
          <w:divBdr>
            <w:top w:val="none" w:sz="0" w:space="0" w:color="auto"/>
            <w:left w:val="none" w:sz="0" w:space="0" w:color="auto"/>
            <w:bottom w:val="none" w:sz="0" w:space="0" w:color="auto"/>
            <w:right w:val="none" w:sz="0" w:space="0" w:color="auto"/>
          </w:divBdr>
          <w:divsChild>
            <w:div w:id="1863543597">
              <w:marLeft w:val="0"/>
              <w:marRight w:val="0"/>
              <w:marTop w:val="0"/>
              <w:marBottom w:val="0"/>
              <w:divBdr>
                <w:top w:val="none" w:sz="0" w:space="0" w:color="auto"/>
                <w:left w:val="none" w:sz="0" w:space="0" w:color="auto"/>
                <w:bottom w:val="none" w:sz="0" w:space="0" w:color="auto"/>
                <w:right w:val="none" w:sz="0" w:space="0" w:color="auto"/>
              </w:divBdr>
              <w:divsChild>
                <w:div w:id="1863543567">
                  <w:marLeft w:val="0"/>
                  <w:marRight w:val="0"/>
                  <w:marTop w:val="0"/>
                  <w:marBottom w:val="0"/>
                  <w:divBdr>
                    <w:top w:val="none" w:sz="0" w:space="0" w:color="auto"/>
                    <w:left w:val="none" w:sz="0" w:space="0" w:color="auto"/>
                    <w:bottom w:val="none" w:sz="0" w:space="0" w:color="auto"/>
                    <w:right w:val="none" w:sz="0" w:space="0" w:color="auto"/>
                  </w:divBdr>
                  <w:divsChild>
                    <w:div w:id="1863543725">
                      <w:marLeft w:val="0"/>
                      <w:marRight w:val="0"/>
                      <w:marTop w:val="0"/>
                      <w:marBottom w:val="0"/>
                      <w:divBdr>
                        <w:top w:val="none" w:sz="0" w:space="0" w:color="auto"/>
                        <w:left w:val="none" w:sz="0" w:space="0" w:color="auto"/>
                        <w:bottom w:val="none" w:sz="0" w:space="0" w:color="auto"/>
                        <w:right w:val="none" w:sz="0" w:space="0" w:color="auto"/>
                      </w:divBdr>
                      <w:divsChild>
                        <w:div w:id="1863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43659">
      <w:marLeft w:val="0"/>
      <w:marRight w:val="0"/>
      <w:marTop w:val="0"/>
      <w:marBottom w:val="0"/>
      <w:divBdr>
        <w:top w:val="none" w:sz="0" w:space="0" w:color="auto"/>
        <w:left w:val="none" w:sz="0" w:space="0" w:color="auto"/>
        <w:bottom w:val="none" w:sz="0" w:space="0" w:color="auto"/>
        <w:right w:val="none" w:sz="0" w:space="0" w:color="auto"/>
      </w:divBdr>
    </w:div>
    <w:div w:id="1863543662">
      <w:marLeft w:val="0"/>
      <w:marRight w:val="0"/>
      <w:marTop w:val="0"/>
      <w:marBottom w:val="0"/>
      <w:divBdr>
        <w:top w:val="none" w:sz="0" w:space="0" w:color="auto"/>
        <w:left w:val="none" w:sz="0" w:space="0" w:color="auto"/>
        <w:bottom w:val="none" w:sz="0" w:space="0" w:color="auto"/>
        <w:right w:val="none" w:sz="0" w:space="0" w:color="auto"/>
      </w:divBdr>
    </w:div>
    <w:div w:id="1863543663">
      <w:marLeft w:val="0"/>
      <w:marRight w:val="0"/>
      <w:marTop w:val="0"/>
      <w:marBottom w:val="0"/>
      <w:divBdr>
        <w:top w:val="none" w:sz="0" w:space="0" w:color="auto"/>
        <w:left w:val="none" w:sz="0" w:space="0" w:color="auto"/>
        <w:bottom w:val="none" w:sz="0" w:space="0" w:color="auto"/>
        <w:right w:val="none" w:sz="0" w:space="0" w:color="auto"/>
      </w:divBdr>
    </w:div>
    <w:div w:id="1863543666">
      <w:marLeft w:val="0"/>
      <w:marRight w:val="0"/>
      <w:marTop w:val="0"/>
      <w:marBottom w:val="0"/>
      <w:divBdr>
        <w:top w:val="none" w:sz="0" w:space="0" w:color="auto"/>
        <w:left w:val="none" w:sz="0" w:space="0" w:color="auto"/>
        <w:bottom w:val="none" w:sz="0" w:space="0" w:color="auto"/>
        <w:right w:val="none" w:sz="0" w:space="0" w:color="auto"/>
      </w:divBdr>
    </w:div>
    <w:div w:id="1863543672">
      <w:marLeft w:val="0"/>
      <w:marRight w:val="0"/>
      <w:marTop w:val="0"/>
      <w:marBottom w:val="0"/>
      <w:divBdr>
        <w:top w:val="none" w:sz="0" w:space="0" w:color="auto"/>
        <w:left w:val="none" w:sz="0" w:space="0" w:color="auto"/>
        <w:bottom w:val="none" w:sz="0" w:space="0" w:color="auto"/>
        <w:right w:val="none" w:sz="0" w:space="0" w:color="auto"/>
      </w:divBdr>
    </w:div>
    <w:div w:id="1863543673">
      <w:marLeft w:val="0"/>
      <w:marRight w:val="0"/>
      <w:marTop w:val="0"/>
      <w:marBottom w:val="0"/>
      <w:divBdr>
        <w:top w:val="none" w:sz="0" w:space="0" w:color="auto"/>
        <w:left w:val="none" w:sz="0" w:space="0" w:color="auto"/>
        <w:bottom w:val="none" w:sz="0" w:space="0" w:color="auto"/>
        <w:right w:val="none" w:sz="0" w:space="0" w:color="auto"/>
      </w:divBdr>
    </w:div>
    <w:div w:id="1863543675">
      <w:marLeft w:val="0"/>
      <w:marRight w:val="0"/>
      <w:marTop w:val="0"/>
      <w:marBottom w:val="0"/>
      <w:divBdr>
        <w:top w:val="none" w:sz="0" w:space="0" w:color="auto"/>
        <w:left w:val="none" w:sz="0" w:space="0" w:color="auto"/>
        <w:bottom w:val="none" w:sz="0" w:space="0" w:color="auto"/>
        <w:right w:val="none" w:sz="0" w:space="0" w:color="auto"/>
      </w:divBdr>
    </w:div>
    <w:div w:id="1863543677">
      <w:marLeft w:val="0"/>
      <w:marRight w:val="0"/>
      <w:marTop w:val="0"/>
      <w:marBottom w:val="0"/>
      <w:divBdr>
        <w:top w:val="none" w:sz="0" w:space="0" w:color="auto"/>
        <w:left w:val="none" w:sz="0" w:space="0" w:color="auto"/>
        <w:bottom w:val="none" w:sz="0" w:space="0" w:color="auto"/>
        <w:right w:val="none" w:sz="0" w:space="0" w:color="auto"/>
      </w:divBdr>
    </w:div>
    <w:div w:id="1863543678">
      <w:marLeft w:val="0"/>
      <w:marRight w:val="0"/>
      <w:marTop w:val="0"/>
      <w:marBottom w:val="0"/>
      <w:divBdr>
        <w:top w:val="none" w:sz="0" w:space="0" w:color="auto"/>
        <w:left w:val="none" w:sz="0" w:space="0" w:color="auto"/>
        <w:bottom w:val="none" w:sz="0" w:space="0" w:color="auto"/>
        <w:right w:val="none" w:sz="0" w:space="0" w:color="auto"/>
      </w:divBdr>
      <w:divsChild>
        <w:div w:id="1863543581">
          <w:marLeft w:val="547"/>
          <w:marRight w:val="0"/>
          <w:marTop w:val="77"/>
          <w:marBottom w:val="0"/>
          <w:divBdr>
            <w:top w:val="none" w:sz="0" w:space="0" w:color="auto"/>
            <w:left w:val="none" w:sz="0" w:space="0" w:color="auto"/>
            <w:bottom w:val="none" w:sz="0" w:space="0" w:color="auto"/>
            <w:right w:val="none" w:sz="0" w:space="0" w:color="auto"/>
          </w:divBdr>
        </w:div>
        <w:div w:id="1863543605">
          <w:marLeft w:val="547"/>
          <w:marRight w:val="0"/>
          <w:marTop w:val="77"/>
          <w:marBottom w:val="0"/>
          <w:divBdr>
            <w:top w:val="none" w:sz="0" w:space="0" w:color="auto"/>
            <w:left w:val="none" w:sz="0" w:space="0" w:color="auto"/>
            <w:bottom w:val="none" w:sz="0" w:space="0" w:color="auto"/>
            <w:right w:val="none" w:sz="0" w:space="0" w:color="auto"/>
          </w:divBdr>
        </w:div>
        <w:div w:id="1863543610">
          <w:marLeft w:val="547"/>
          <w:marRight w:val="0"/>
          <w:marTop w:val="77"/>
          <w:marBottom w:val="0"/>
          <w:divBdr>
            <w:top w:val="none" w:sz="0" w:space="0" w:color="auto"/>
            <w:left w:val="none" w:sz="0" w:space="0" w:color="auto"/>
            <w:bottom w:val="none" w:sz="0" w:space="0" w:color="auto"/>
            <w:right w:val="none" w:sz="0" w:space="0" w:color="auto"/>
          </w:divBdr>
        </w:div>
        <w:div w:id="1863543629">
          <w:marLeft w:val="547"/>
          <w:marRight w:val="0"/>
          <w:marTop w:val="77"/>
          <w:marBottom w:val="0"/>
          <w:divBdr>
            <w:top w:val="none" w:sz="0" w:space="0" w:color="auto"/>
            <w:left w:val="none" w:sz="0" w:space="0" w:color="auto"/>
            <w:bottom w:val="none" w:sz="0" w:space="0" w:color="auto"/>
            <w:right w:val="none" w:sz="0" w:space="0" w:color="auto"/>
          </w:divBdr>
        </w:div>
        <w:div w:id="1863543661">
          <w:marLeft w:val="547"/>
          <w:marRight w:val="0"/>
          <w:marTop w:val="77"/>
          <w:marBottom w:val="0"/>
          <w:divBdr>
            <w:top w:val="none" w:sz="0" w:space="0" w:color="auto"/>
            <w:left w:val="none" w:sz="0" w:space="0" w:color="auto"/>
            <w:bottom w:val="none" w:sz="0" w:space="0" w:color="auto"/>
            <w:right w:val="none" w:sz="0" w:space="0" w:color="auto"/>
          </w:divBdr>
        </w:div>
        <w:div w:id="1863543676">
          <w:marLeft w:val="547"/>
          <w:marRight w:val="0"/>
          <w:marTop w:val="77"/>
          <w:marBottom w:val="0"/>
          <w:divBdr>
            <w:top w:val="none" w:sz="0" w:space="0" w:color="auto"/>
            <w:left w:val="none" w:sz="0" w:space="0" w:color="auto"/>
            <w:bottom w:val="none" w:sz="0" w:space="0" w:color="auto"/>
            <w:right w:val="none" w:sz="0" w:space="0" w:color="auto"/>
          </w:divBdr>
        </w:div>
        <w:div w:id="1863543710">
          <w:marLeft w:val="547"/>
          <w:marRight w:val="0"/>
          <w:marTop w:val="77"/>
          <w:marBottom w:val="0"/>
          <w:divBdr>
            <w:top w:val="none" w:sz="0" w:space="0" w:color="auto"/>
            <w:left w:val="none" w:sz="0" w:space="0" w:color="auto"/>
            <w:bottom w:val="none" w:sz="0" w:space="0" w:color="auto"/>
            <w:right w:val="none" w:sz="0" w:space="0" w:color="auto"/>
          </w:divBdr>
        </w:div>
      </w:divsChild>
    </w:div>
    <w:div w:id="1863543686">
      <w:marLeft w:val="0"/>
      <w:marRight w:val="0"/>
      <w:marTop w:val="0"/>
      <w:marBottom w:val="0"/>
      <w:divBdr>
        <w:top w:val="none" w:sz="0" w:space="0" w:color="auto"/>
        <w:left w:val="none" w:sz="0" w:space="0" w:color="auto"/>
        <w:bottom w:val="none" w:sz="0" w:space="0" w:color="auto"/>
        <w:right w:val="none" w:sz="0" w:space="0" w:color="auto"/>
      </w:divBdr>
    </w:div>
    <w:div w:id="1863543688">
      <w:marLeft w:val="0"/>
      <w:marRight w:val="0"/>
      <w:marTop w:val="0"/>
      <w:marBottom w:val="0"/>
      <w:divBdr>
        <w:top w:val="none" w:sz="0" w:space="0" w:color="auto"/>
        <w:left w:val="none" w:sz="0" w:space="0" w:color="auto"/>
        <w:bottom w:val="none" w:sz="0" w:space="0" w:color="auto"/>
        <w:right w:val="none" w:sz="0" w:space="0" w:color="auto"/>
      </w:divBdr>
    </w:div>
    <w:div w:id="1863543690">
      <w:marLeft w:val="0"/>
      <w:marRight w:val="0"/>
      <w:marTop w:val="0"/>
      <w:marBottom w:val="0"/>
      <w:divBdr>
        <w:top w:val="none" w:sz="0" w:space="0" w:color="auto"/>
        <w:left w:val="none" w:sz="0" w:space="0" w:color="auto"/>
        <w:bottom w:val="none" w:sz="0" w:space="0" w:color="auto"/>
        <w:right w:val="none" w:sz="0" w:space="0" w:color="auto"/>
      </w:divBdr>
    </w:div>
    <w:div w:id="1863543692">
      <w:marLeft w:val="0"/>
      <w:marRight w:val="0"/>
      <w:marTop w:val="0"/>
      <w:marBottom w:val="0"/>
      <w:divBdr>
        <w:top w:val="none" w:sz="0" w:space="0" w:color="auto"/>
        <w:left w:val="none" w:sz="0" w:space="0" w:color="auto"/>
        <w:bottom w:val="none" w:sz="0" w:space="0" w:color="auto"/>
        <w:right w:val="none" w:sz="0" w:space="0" w:color="auto"/>
      </w:divBdr>
      <w:divsChild>
        <w:div w:id="1863543606">
          <w:marLeft w:val="0"/>
          <w:marRight w:val="0"/>
          <w:marTop w:val="0"/>
          <w:marBottom w:val="0"/>
          <w:divBdr>
            <w:top w:val="none" w:sz="0" w:space="0" w:color="auto"/>
            <w:left w:val="none" w:sz="0" w:space="0" w:color="auto"/>
            <w:bottom w:val="none" w:sz="0" w:space="0" w:color="auto"/>
            <w:right w:val="none" w:sz="0" w:space="0" w:color="auto"/>
          </w:divBdr>
          <w:divsChild>
            <w:div w:id="1863543590">
              <w:marLeft w:val="0"/>
              <w:marRight w:val="0"/>
              <w:marTop w:val="0"/>
              <w:marBottom w:val="0"/>
              <w:divBdr>
                <w:top w:val="none" w:sz="0" w:space="0" w:color="auto"/>
                <w:left w:val="none" w:sz="0" w:space="0" w:color="auto"/>
                <w:bottom w:val="none" w:sz="0" w:space="0" w:color="auto"/>
                <w:right w:val="none" w:sz="0" w:space="0" w:color="auto"/>
              </w:divBdr>
              <w:divsChild>
                <w:div w:id="1863543719">
                  <w:marLeft w:val="0"/>
                  <w:marRight w:val="0"/>
                  <w:marTop w:val="0"/>
                  <w:marBottom w:val="0"/>
                  <w:divBdr>
                    <w:top w:val="none" w:sz="0" w:space="0" w:color="auto"/>
                    <w:left w:val="none" w:sz="0" w:space="0" w:color="auto"/>
                    <w:bottom w:val="none" w:sz="0" w:space="0" w:color="auto"/>
                    <w:right w:val="none" w:sz="0" w:space="0" w:color="auto"/>
                  </w:divBdr>
                </w:div>
              </w:divsChild>
            </w:div>
            <w:div w:id="1863543611">
              <w:marLeft w:val="0"/>
              <w:marRight w:val="0"/>
              <w:marTop w:val="0"/>
              <w:marBottom w:val="0"/>
              <w:divBdr>
                <w:top w:val="none" w:sz="0" w:space="0" w:color="auto"/>
                <w:left w:val="none" w:sz="0" w:space="0" w:color="auto"/>
                <w:bottom w:val="none" w:sz="0" w:space="0" w:color="auto"/>
                <w:right w:val="none" w:sz="0" w:space="0" w:color="auto"/>
              </w:divBdr>
              <w:divsChild>
                <w:div w:id="1863543635">
                  <w:marLeft w:val="0"/>
                  <w:marRight w:val="0"/>
                  <w:marTop w:val="0"/>
                  <w:marBottom w:val="0"/>
                  <w:divBdr>
                    <w:top w:val="none" w:sz="0" w:space="0" w:color="auto"/>
                    <w:left w:val="none" w:sz="0" w:space="0" w:color="auto"/>
                    <w:bottom w:val="none" w:sz="0" w:space="0" w:color="auto"/>
                    <w:right w:val="none" w:sz="0" w:space="0" w:color="auto"/>
                  </w:divBdr>
                  <w:divsChild>
                    <w:div w:id="1863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94">
      <w:marLeft w:val="0"/>
      <w:marRight w:val="0"/>
      <w:marTop w:val="0"/>
      <w:marBottom w:val="0"/>
      <w:divBdr>
        <w:top w:val="none" w:sz="0" w:space="0" w:color="auto"/>
        <w:left w:val="none" w:sz="0" w:space="0" w:color="auto"/>
        <w:bottom w:val="none" w:sz="0" w:space="0" w:color="auto"/>
        <w:right w:val="none" w:sz="0" w:space="0" w:color="auto"/>
      </w:divBdr>
    </w:div>
    <w:div w:id="1863543707">
      <w:marLeft w:val="0"/>
      <w:marRight w:val="0"/>
      <w:marTop w:val="0"/>
      <w:marBottom w:val="0"/>
      <w:divBdr>
        <w:top w:val="none" w:sz="0" w:space="0" w:color="auto"/>
        <w:left w:val="none" w:sz="0" w:space="0" w:color="auto"/>
        <w:bottom w:val="none" w:sz="0" w:space="0" w:color="auto"/>
        <w:right w:val="none" w:sz="0" w:space="0" w:color="auto"/>
      </w:divBdr>
      <w:divsChild>
        <w:div w:id="1863543561">
          <w:marLeft w:val="547"/>
          <w:marRight w:val="0"/>
          <w:marTop w:val="86"/>
          <w:marBottom w:val="0"/>
          <w:divBdr>
            <w:top w:val="none" w:sz="0" w:space="0" w:color="auto"/>
            <w:left w:val="none" w:sz="0" w:space="0" w:color="auto"/>
            <w:bottom w:val="none" w:sz="0" w:space="0" w:color="auto"/>
            <w:right w:val="none" w:sz="0" w:space="0" w:color="auto"/>
          </w:divBdr>
        </w:div>
        <w:div w:id="1863543578">
          <w:marLeft w:val="547"/>
          <w:marRight w:val="0"/>
          <w:marTop w:val="86"/>
          <w:marBottom w:val="0"/>
          <w:divBdr>
            <w:top w:val="none" w:sz="0" w:space="0" w:color="auto"/>
            <w:left w:val="none" w:sz="0" w:space="0" w:color="auto"/>
            <w:bottom w:val="none" w:sz="0" w:space="0" w:color="auto"/>
            <w:right w:val="none" w:sz="0" w:space="0" w:color="auto"/>
          </w:divBdr>
        </w:div>
        <w:div w:id="1863543636">
          <w:marLeft w:val="547"/>
          <w:marRight w:val="0"/>
          <w:marTop w:val="86"/>
          <w:marBottom w:val="0"/>
          <w:divBdr>
            <w:top w:val="none" w:sz="0" w:space="0" w:color="auto"/>
            <w:left w:val="none" w:sz="0" w:space="0" w:color="auto"/>
            <w:bottom w:val="none" w:sz="0" w:space="0" w:color="auto"/>
            <w:right w:val="none" w:sz="0" w:space="0" w:color="auto"/>
          </w:divBdr>
        </w:div>
        <w:div w:id="1863543652">
          <w:marLeft w:val="547"/>
          <w:marRight w:val="0"/>
          <w:marTop w:val="86"/>
          <w:marBottom w:val="0"/>
          <w:divBdr>
            <w:top w:val="none" w:sz="0" w:space="0" w:color="auto"/>
            <w:left w:val="none" w:sz="0" w:space="0" w:color="auto"/>
            <w:bottom w:val="none" w:sz="0" w:space="0" w:color="auto"/>
            <w:right w:val="none" w:sz="0" w:space="0" w:color="auto"/>
          </w:divBdr>
        </w:div>
        <w:div w:id="1863543700">
          <w:marLeft w:val="547"/>
          <w:marRight w:val="0"/>
          <w:marTop w:val="86"/>
          <w:marBottom w:val="0"/>
          <w:divBdr>
            <w:top w:val="none" w:sz="0" w:space="0" w:color="auto"/>
            <w:left w:val="none" w:sz="0" w:space="0" w:color="auto"/>
            <w:bottom w:val="none" w:sz="0" w:space="0" w:color="auto"/>
            <w:right w:val="none" w:sz="0" w:space="0" w:color="auto"/>
          </w:divBdr>
        </w:div>
      </w:divsChild>
    </w:div>
    <w:div w:id="1863543709">
      <w:marLeft w:val="0"/>
      <w:marRight w:val="0"/>
      <w:marTop w:val="0"/>
      <w:marBottom w:val="0"/>
      <w:divBdr>
        <w:top w:val="none" w:sz="0" w:space="0" w:color="auto"/>
        <w:left w:val="none" w:sz="0" w:space="0" w:color="auto"/>
        <w:bottom w:val="none" w:sz="0" w:space="0" w:color="auto"/>
        <w:right w:val="none" w:sz="0" w:space="0" w:color="auto"/>
      </w:divBdr>
    </w:div>
    <w:div w:id="1863543712">
      <w:marLeft w:val="0"/>
      <w:marRight w:val="0"/>
      <w:marTop w:val="0"/>
      <w:marBottom w:val="0"/>
      <w:divBdr>
        <w:top w:val="none" w:sz="0" w:space="0" w:color="auto"/>
        <w:left w:val="none" w:sz="0" w:space="0" w:color="auto"/>
        <w:bottom w:val="none" w:sz="0" w:space="0" w:color="auto"/>
        <w:right w:val="none" w:sz="0" w:space="0" w:color="auto"/>
      </w:divBdr>
    </w:div>
    <w:div w:id="1863543714">
      <w:marLeft w:val="0"/>
      <w:marRight w:val="0"/>
      <w:marTop w:val="0"/>
      <w:marBottom w:val="0"/>
      <w:divBdr>
        <w:top w:val="none" w:sz="0" w:space="0" w:color="auto"/>
        <w:left w:val="none" w:sz="0" w:space="0" w:color="auto"/>
        <w:bottom w:val="none" w:sz="0" w:space="0" w:color="auto"/>
        <w:right w:val="none" w:sz="0" w:space="0" w:color="auto"/>
      </w:divBdr>
    </w:div>
    <w:div w:id="1863543717">
      <w:marLeft w:val="0"/>
      <w:marRight w:val="0"/>
      <w:marTop w:val="0"/>
      <w:marBottom w:val="0"/>
      <w:divBdr>
        <w:top w:val="none" w:sz="0" w:space="0" w:color="auto"/>
        <w:left w:val="none" w:sz="0" w:space="0" w:color="auto"/>
        <w:bottom w:val="none" w:sz="0" w:space="0" w:color="auto"/>
        <w:right w:val="none" w:sz="0" w:space="0" w:color="auto"/>
      </w:divBdr>
    </w:div>
    <w:div w:id="1863543722">
      <w:marLeft w:val="0"/>
      <w:marRight w:val="0"/>
      <w:marTop w:val="0"/>
      <w:marBottom w:val="0"/>
      <w:divBdr>
        <w:top w:val="none" w:sz="0" w:space="0" w:color="auto"/>
        <w:left w:val="none" w:sz="0" w:space="0" w:color="auto"/>
        <w:bottom w:val="none" w:sz="0" w:space="0" w:color="auto"/>
        <w:right w:val="none" w:sz="0" w:space="0" w:color="auto"/>
      </w:divBdr>
    </w:div>
    <w:div w:id="1863543723">
      <w:marLeft w:val="0"/>
      <w:marRight w:val="0"/>
      <w:marTop w:val="0"/>
      <w:marBottom w:val="0"/>
      <w:divBdr>
        <w:top w:val="none" w:sz="0" w:space="0" w:color="auto"/>
        <w:left w:val="none" w:sz="0" w:space="0" w:color="auto"/>
        <w:bottom w:val="none" w:sz="0" w:space="0" w:color="auto"/>
        <w:right w:val="none" w:sz="0" w:space="0" w:color="auto"/>
      </w:divBdr>
    </w:div>
    <w:div w:id="1863543728">
      <w:marLeft w:val="0"/>
      <w:marRight w:val="0"/>
      <w:marTop w:val="0"/>
      <w:marBottom w:val="0"/>
      <w:divBdr>
        <w:top w:val="none" w:sz="0" w:space="0" w:color="auto"/>
        <w:left w:val="none" w:sz="0" w:space="0" w:color="auto"/>
        <w:bottom w:val="none" w:sz="0" w:space="0" w:color="auto"/>
        <w:right w:val="none" w:sz="0" w:space="0" w:color="auto"/>
      </w:divBdr>
    </w:div>
    <w:div w:id="1863543729">
      <w:marLeft w:val="0"/>
      <w:marRight w:val="0"/>
      <w:marTop w:val="0"/>
      <w:marBottom w:val="0"/>
      <w:divBdr>
        <w:top w:val="none" w:sz="0" w:space="0" w:color="auto"/>
        <w:left w:val="none" w:sz="0" w:space="0" w:color="auto"/>
        <w:bottom w:val="none" w:sz="0" w:space="0" w:color="auto"/>
        <w:right w:val="none" w:sz="0" w:space="0" w:color="auto"/>
      </w:divBdr>
    </w:div>
    <w:div w:id="1863543730">
      <w:marLeft w:val="0"/>
      <w:marRight w:val="0"/>
      <w:marTop w:val="0"/>
      <w:marBottom w:val="0"/>
      <w:divBdr>
        <w:top w:val="none" w:sz="0" w:space="0" w:color="auto"/>
        <w:left w:val="none" w:sz="0" w:space="0" w:color="auto"/>
        <w:bottom w:val="none" w:sz="0" w:space="0" w:color="auto"/>
        <w:right w:val="none" w:sz="0" w:space="0" w:color="auto"/>
      </w:divBdr>
    </w:div>
    <w:div w:id="1863543734">
      <w:marLeft w:val="0"/>
      <w:marRight w:val="0"/>
      <w:marTop w:val="0"/>
      <w:marBottom w:val="0"/>
      <w:divBdr>
        <w:top w:val="none" w:sz="0" w:space="0" w:color="auto"/>
        <w:left w:val="none" w:sz="0" w:space="0" w:color="auto"/>
        <w:bottom w:val="none" w:sz="0" w:space="0" w:color="auto"/>
        <w:right w:val="none" w:sz="0" w:space="0" w:color="auto"/>
      </w:divBdr>
    </w:div>
    <w:div w:id="1863543736">
      <w:marLeft w:val="0"/>
      <w:marRight w:val="0"/>
      <w:marTop w:val="0"/>
      <w:marBottom w:val="0"/>
      <w:divBdr>
        <w:top w:val="none" w:sz="0" w:space="0" w:color="auto"/>
        <w:left w:val="none" w:sz="0" w:space="0" w:color="auto"/>
        <w:bottom w:val="none" w:sz="0" w:space="0" w:color="auto"/>
        <w:right w:val="none" w:sz="0" w:space="0" w:color="auto"/>
      </w:divBdr>
      <w:divsChild>
        <w:div w:id="1863543633">
          <w:marLeft w:val="0"/>
          <w:marRight w:val="0"/>
          <w:marTop w:val="120"/>
          <w:marBottom w:val="0"/>
          <w:divBdr>
            <w:top w:val="none" w:sz="0" w:space="0" w:color="auto"/>
            <w:left w:val="none" w:sz="0" w:space="0" w:color="auto"/>
            <w:bottom w:val="none" w:sz="0" w:space="0" w:color="auto"/>
            <w:right w:val="none" w:sz="0" w:space="0" w:color="auto"/>
          </w:divBdr>
          <w:divsChild>
            <w:div w:id="1863543645">
              <w:marLeft w:val="0"/>
              <w:marRight w:val="0"/>
              <w:marTop w:val="0"/>
              <w:marBottom w:val="0"/>
              <w:divBdr>
                <w:top w:val="none" w:sz="0" w:space="0" w:color="auto"/>
                <w:left w:val="none" w:sz="0" w:space="0" w:color="auto"/>
                <w:bottom w:val="none" w:sz="0" w:space="0" w:color="auto"/>
                <w:right w:val="none" w:sz="0" w:space="0" w:color="auto"/>
              </w:divBdr>
              <w:divsChild>
                <w:div w:id="1863543564">
                  <w:marLeft w:val="0"/>
                  <w:marRight w:val="0"/>
                  <w:marTop w:val="0"/>
                  <w:marBottom w:val="120"/>
                  <w:divBdr>
                    <w:top w:val="none" w:sz="0" w:space="0" w:color="auto"/>
                    <w:left w:val="none" w:sz="0" w:space="0" w:color="auto"/>
                    <w:bottom w:val="none" w:sz="0" w:space="0" w:color="auto"/>
                    <w:right w:val="none" w:sz="0" w:space="0" w:color="auto"/>
                  </w:divBdr>
                </w:div>
                <w:div w:id="1863543683">
                  <w:marLeft w:val="0"/>
                  <w:marRight w:val="0"/>
                  <w:marTop w:val="0"/>
                  <w:marBottom w:val="0"/>
                  <w:divBdr>
                    <w:top w:val="none" w:sz="0" w:space="0" w:color="auto"/>
                    <w:left w:val="none" w:sz="0" w:space="0" w:color="auto"/>
                    <w:bottom w:val="none" w:sz="0" w:space="0" w:color="auto"/>
                    <w:right w:val="none" w:sz="0" w:space="0" w:color="auto"/>
                  </w:divBdr>
                </w:div>
                <w:div w:id="1863543705">
                  <w:marLeft w:val="0"/>
                  <w:marRight w:val="0"/>
                  <w:marTop w:val="0"/>
                  <w:marBottom w:val="0"/>
                  <w:divBdr>
                    <w:top w:val="none" w:sz="0" w:space="0" w:color="auto"/>
                    <w:left w:val="none" w:sz="0" w:space="0" w:color="auto"/>
                    <w:bottom w:val="none" w:sz="0" w:space="0" w:color="auto"/>
                    <w:right w:val="none" w:sz="0" w:space="0" w:color="auto"/>
                  </w:divBdr>
                </w:div>
                <w:div w:id="1863543745">
                  <w:marLeft w:val="0"/>
                  <w:marRight w:val="0"/>
                  <w:marTop w:val="32"/>
                  <w:marBottom w:val="32"/>
                  <w:divBdr>
                    <w:top w:val="none" w:sz="0" w:space="0" w:color="auto"/>
                    <w:left w:val="none" w:sz="0" w:space="0" w:color="auto"/>
                    <w:bottom w:val="none" w:sz="0" w:space="0" w:color="auto"/>
                    <w:right w:val="none" w:sz="0" w:space="0" w:color="auto"/>
                  </w:divBdr>
                </w:div>
              </w:divsChild>
            </w:div>
          </w:divsChild>
        </w:div>
      </w:divsChild>
    </w:div>
    <w:div w:id="1863543738">
      <w:marLeft w:val="0"/>
      <w:marRight w:val="0"/>
      <w:marTop w:val="0"/>
      <w:marBottom w:val="0"/>
      <w:divBdr>
        <w:top w:val="none" w:sz="0" w:space="0" w:color="auto"/>
        <w:left w:val="none" w:sz="0" w:space="0" w:color="auto"/>
        <w:bottom w:val="none" w:sz="0" w:space="0" w:color="auto"/>
        <w:right w:val="none" w:sz="0" w:space="0" w:color="auto"/>
      </w:divBdr>
    </w:div>
    <w:div w:id="1863543739">
      <w:marLeft w:val="0"/>
      <w:marRight w:val="0"/>
      <w:marTop w:val="0"/>
      <w:marBottom w:val="0"/>
      <w:divBdr>
        <w:top w:val="none" w:sz="0" w:space="0" w:color="auto"/>
        <w:left w:val="none" w:sz="0" w:space="0" w:color="auto"/>
        <w:bottom w:val="none" w:sz="0" w:space="0" w:color="auto"/>
        <w:right w:val="none" w:sz="0" w:space="0" w:color="auto"/>
      </w:divBdr>
    </w:div>
    <w:div w:id="1863543740">
      <w:marLeft w:val="0"/>
      <w:marRight w:val="0"/>
      <w:marTop w:val="0"/>
      <w:marBottom w:val="0"/>
      <w:divBdr>
        <w:top w:val="none" w:sz="0" w:space="0" w:color="auto"/>
        <w:left w:val="none" w:sz="0" w:space="0" w:color="auto"/>
        <w:bottom w:val="none" w:sz="0" w:space="0" w:color="auto"/>
        <w:right w:val="none" w:sz="0" w:space="0" w:color="auto"/>
      </w:divBdr>
    </w:div>
    <w:div w:id="1863543749">
      <w:marLeft w:val="0"/>
      <w:marRight w:val="0"/>
      <w:marTop w:val="0"/>
      <w:marBottom w:val="0"/>
      <w:divBdr>
        <w:top w:val="none" w:sz="0" w:space="0" w:color="auto"/>
        <w:left w:val="none" w:sz="0" w:space="0" w:color="auto"/>
        <w:bottom w:val="none" w:sz="0" w:space="0" w:color="auto"/>
        <w:right w:val="none" w:sz="0" w:space="0" w:color="auto"/>
      </w:divBdr>
    </w:div>
    <w:div w:id="1863543750">
      <w:marLeft w:val="0"/>
      <w:marRight w:val="0"/>
      <w:marTop w:val="0"/>
      <w:marBottom w:val="0"/>
      <w:divBdr>
        <w:top w:val="none" w:sz="0" w:space="0" w:color="auto"/>
        <w:left w:val="none" w:sz="0" w:space="0" w:color="auto"/>
        <w:bottom w:val="none" w:sz="0" w:space="0" w:color="auto"/>
        <w:right w:val="none" w:sz="0" w:space="0" w:color="auto"/>
      </w:divBdr>
    </w:div>
    <w:div w:id="1863543752">
      <w:marLeft w:val="0"/>
      <w:marRight w:val="0"/>
      <w:marTop w:val="0"/>
      <w:marBottom w:val="0"/>
      <w:divBdr>
        <w:top w:val="none" w:sz="0" w:space="0" w:color="auto"/>
        <w:left w:val="none" w:sz="0" w:space="0" w:color="auto"/>
        <w:bottom w:val="none" w:sz="0" w:space="0" w:color="auto"/>
        <w:right w:val="none" w:sz="0" w:space="0" w:color="auto"/>
      </w:divBdr>
    </w:div>
    <w:div w:id="1863543755">
      <w:marLeft w:val="0"/>
      <w:marRight w:val="0"/>
      <w:marTop w:val="0"/>
      <w:marBottom w:val="0"/>
      <w:divBdr>
        <w:top w:val="none" w:sz="0" w:space="0" w:color="auto"/>
        <w:left w:val="none" w:sz="0" w:space="0" w:color="auto"/>
        <w:bottom w:val="none" w:sz="0" w:space="0" w:color="auto"/>
        <w:right w:val="none" w:sz="0" w:space="0" w:color="auto"/>
      </w:divBdr>
    </w:div>
    <w:div w:id="1863543757">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sChild>
        <w:div w:id="1863543715">
          <w:marLeft w:val="547"/>
          <w:marRight w:val="0"/>
          <w:marTop w:val="96"/>
          <w:marBottom w:val="0"/>
          <w:divBdr>
            <w:top w:val="none" w:sz="0" w:space="0" w:color="auto"/>
            <w:left w:val="none" w:sz="0" w:space="0" w:color="auto"/>
            <w:bottom w:val="none" w:sz="0" w:space="0" w:color="auto"/>
            <w:right w:val="none" w:sz="0" w:space="0" w:color="auto"/>
          </w:divBdr>
        </w:div>
        <w:div w:id="1863543764">
          <w:marLeft w:val="547"/>
          <w:marRight w:val="0"/>
          <w:marTop w:val="96"/>
          <w:marBottom w:val="0"/>
          <w:divBdr>
            <w:top w:val="none" w:sz="0" w:space="0" w:color="auto"/>
            <w:left w:val="none" w:sz="0" w:space="0" w:color="auto"/>
            <w:bottom w:val="none" w:sz="0" w:space="0" w:color="auto"/>
            <w:right w:val="none" w:sz="0" w:space="0" w:color="auto"/>
          </w:divBdr>
        </w:div>
      </w:divsChild>
    </w:div>
    <w:div w:id="1863543766">
      <w:marLeft w:val="0"/>
      <w:marRight w:val="0"/>
      <w:marTop w:val="0"/>
      <w:marBottom w:val="0"/>
      <w:divBdr>
        <w:top w:val="none" w:sz="0" w:space="0" w:color="auto"/>
        <w:left w:val="none" w:sz="0" w:space="0" w:color="auto"/>
        <w:bottom w:val="none" w:sz="0" w:space="0" w:color="auto"/>
        <w:right w:val="none" w:sz="0" w:space="0" w:color="auto"/>
      </w:divBdr>
      <w:divsChild>
        <w:div w:id="1863543618">
          <w:marLeft w:val="547"/>
          <w:marRight w:val="0"/>
          <w:marTop w:val="96"/>
          <w:marBottom w:val="0"/>
          <w:divBdr>
            <w:top w:val="none" w:sz="0" w:space="0" w:color="auto"/>
            <w:left w:val="none" w:sz="0" w:space="0" w:color="auto"/>
            <w:bottom w:val="none" w:sz="0" w:space="0" w:color="auto"/>
            <w:right w:val="none" w:sz="0" w:space="0" w:color="auto"/>
          </w:divBdr>
        </w:div>
        <w:div w:id="1863543646">
          <w:marLeft w:val="547"/>
          <w:marRight w:val="0"/>
          <w:marTop w:val="96"/>
          <w:marBottom w:val="0"/>
          <w:divBdr>
            <w:top w:val="none" w:sz="0" w:space="0" w:color="auto"/>
            <w:left w:val="none" w:sz="0" w:space="0" w:color="auto"/>
            <w:bottom w:val="none" w:sz="0" w:space="0" w:color="auto"/>
            <w:right w:val="none" w:sz="0" w:space="0" w:color="auto"/>
          </w:divBdr>
        </w:div>
        <w:div w:id="1863543667">
          <w:marLeft w:val="547"/>
          <w:marRight w:val="0"/>
          <w:marTop w:val="96"/>
          <w:marBottom w:val="0"/>
          <w:divBdr>
            <w:top w:val="none" w:sz="0" w:space="0" w:color="auto"/>
            <w:left w:val="none" w:sz="0" w:space="0" w:color="auto"/>
            <w:bottom w:val="none" w:sz="0" w:space="0" w:color="auto"/>
            <w:right w:val="none" w:sz="0" w:space="0" w:color="auto"/>
          </w:divBdr>
        </w:div>
        <w:div w:id="1863543778">
          <w:marLeft w:val="547"/>
          <w:marRight w:val="0"/>
          <w:marTop w:val="96"/>
          <w:marBottom w:val="0"/>
          <w:divBdr>
            <w:top w:val="none" w:sz="0" w:space="0" w:color="auto"/>
            <w:left w:val="none" w:sz="0" w:space="0" w:color="auto"/>
            <w:bottom w:val="none" w:sz="0" w:space="0" w:color="auto"/>
            <w:right w:val="none" w:sz="0" w:space="0" w:color="auto"/>
          </w:divBdr>
        </w:div>
      </w:divsChild>
    </w:div>
    <w:div w:id="1863543767">
      <w:marLeft w:val="0"/>
      <w:marRight w:val="0"/>
      <w:marTop w:val="0"/>
      <w:marBottom w:val="0"/>
      <w:divBdr>
        <w:top w:val="none" w:sz="0" w:space="0" w:color="auto"/>
        <w:left w:val="none" w:sz="0" w:space="0" w:color="auto"/>
        <w:bottom w:val="none" w:sz="0" w:space="0" w:color="auto"/>
        <w:right w:val="none" w:sz="0" w:space="0" w:color="auto"/>
      </w:divBdr>
      <w:divsChild>
        <w:div w:id="1863543587">
          <w:marLeft w:val="1166"/>
          <w:marRight w:val="0"/>
          <w:marTop w:val="96"/>
          <w:marBottom w:val="0"/>
          <w:divBdr>
            <w:top w:val="none" w:sz="0" w:space="0" w:color="auto"/>
            <w:left w:val="none" w:sz="0" w:space="0" w:color="auto"/>
            <w:bottom w:val="none" w:sz="0" w:space="0" w:color="auto"/>
            <w:right w:val="none" w:sz="0" w:space="0" w:color="auto"/>
          </w:divBdr>
        </w:div>
        <w:div w:id="1863543604">
          <w:marLeft w:val="547"/>
          <w:marRight w:val="0"/>
          <w:marTop w:val="96"/>
          <w:marBottom w:val="0"/>
          <w:divBdr>
            <w:top w:val="none" w:sz="0" w:space="0" w:color="auto"/>
            <w:left w:val="none" w:sz="0" w:space="0" w:color="auto"/>
            <w:bottom w:val="none" w:sz="0" w:space="0" w:color="auto"/>
            <w:right w:val="none" w:sz="0" w:space="0" w:color="auto"/>
          </w:divBdr>
        </w:div>
        <w:div w:id="1863543626">
          <w:marLeft w:val="1166"/>
          <w:marRight w:val="0"/>
          <w:marTop w:val="96"/>
          <w:marBottom w:val="0"/>
          <w:divBdr>
            <w:top w:val="none" w:sz="0" w:space="0" w:color="auto"/>
            <w:left w:val="none" w:sz="0" w:space="0" w:color="auto"/>
            <w:bottom w:val="none" w:sz="0" w:space="0" w:color="auto"/>
            <w:right w:val="none" w:sz="0" w:space="0" w:color="auto"/>
          </w:divBdr>
        </w:div>
        <w:div w:id="1863543742">
          <w:marLeft w:val="1166"/>
          <w:marRight w:val="0"/>
          <w:marTop w:val="96"/>
          <w:marBottom w:val="0"/>
          <w:divBdr>
            <w:top w:val="none" w:sz="0" w:space="0" w:color="auto"/>
            <w:left w:val="none" w:sz="0" w:space="0" w:color="auto"/>
            <w:bottom w:val="none" w:sz="0" w:space="0" w:color="auto"/>
            <w:right w:val="none" w:sz="0" w:space="0" w:color="auto"/>
          </w:divBdr>
        </w:div>
        <w:div w:id="1863543747">
          <w:marLeft w:val="1166"/>
          <w:marRight w:val="0"/>
          <w:marTop w:val="96"/>
          <w:marBottom w:val="0"/>
          <w:divBdr>
            <w:top w:val="none" w:sz="0" w:space="0" w:color="auto"/>
            <w:left w:val="none" w:sz="0" w:space="0" w:color="auto"/>
            <w:bottom w:val="none" w:sz="0" w:space="0" w:color="auto"/>
            <w:right w:val="none" w:sz="0" w:space="0" w:color="auto"/>
          </w:divBdr>
        </w:div>
        <w:div w:id="1863543760">
          <w:marLeft w:val="1166"/>
          <w:marRight w:val="0"/>
          <w:marTop w:val="96"/>
          <w:marBottom w:val="0"/>
          <w:divBdr>
            <w:top w:val="none" w:sz="0" w:space="0" w:color="auto"/>
            <w:left w:val="none" w:sz="0" w:space="0" w:color="auto"/>
            <w:bottom w:val="none" w:sz="0" w:space="0" w:color="auto"/>
            <w:right w:val="none" w:sz="0" w:space="0" w:color="auto"/>
          </w:divBdr>
        </w:div>
      </w:divsChild>
    </w:div>
    <w:div w:id="1863543768">
      <w:marLeft w:val="0"/>
      <w:marRight w:val="0"/>
      <w:marTop w:val="0"/>
      <w:marBottom w:val="0"/>
      <w:divBdr>
        <w:top w:val="none" w:sz="0" w:space="0" w:color="auto"/>
        <w:left w:val="none" w:sz="0" w:space="0" w:color="auto"/>
        <w:bottom w:val="none" w:sz="0" w:space="0" w:color="auto"/>
        <w:right w:val="none" w:sz="0" w:space="0" w:color="auto"/>
      </w:divBdr>
    </w:div>
    <w:div w:id="1863543771">
      <w:marLeft w:val="0"/>
      <w:marRight w:val="0"/>
      <w:marTop w:val="0"/>
      <w:marBottom w:val="0"/>
      <w:divBdr>
        <w:top w:val="none" w:sz="0" w:space="0" w:color="auto"/>
        <w:left w:val="none" w:sz="0" w:space="0" w:color="auto"/>
        <w:bottom w:val="none" w:sz="0" w:space="0" w:color="auto"/>
        <w:right w:val="none" w:sz="0" w:space="0" w:color="auto"/>
      </w:divBdr>
    </w:div>
    <w:div w:id="1863543774">
      <w:marLeft w:val="0"/>
      <w:marRight w:val="0"/>
      <w:marTop w:val="0"/>
      <w:marBottom w:val="0"/>
      <w:divBdr>
        <w:top w:val="none" w:sz="0" w:space="0" w:color="auto"/>
        <w:left w:val="none" w:sz="0" w:space="0" w:color="auto"/>
        <w:bottom w:val="none" w:sz="0" w:space="0" w:color="auto"/>
        <w:right w:val="none" w:sz="0" w:space="0" w:color="auto"/>
      </w:divBdr>
    </w:div>
    <w:div w:id="1863543776">
      <w:marLeft w:val="0"/>
      <w:marRight w:val="0"/>
      <w:marTop w:val="0"/>
      <w:marBottom w:val="0"/>
      <w:divBdr>
        <w:top w:val="none" w:sz="0" w:space="0" w:color="auto"/>
        <w:left w:val="none" w:sz="0" w:space="0" w:color="auto"/>
        <w:bottom w:val="none" w:sz="0" w:space="0" w:color="auto"/>
        <w:right w:val="none" w:sz="0" w:space="0" w:color="auto"/>
      </w:divBdr>
      <w:divsChild>
        <w:div w:id="1863543713">
          <w:marLeft w:val="0"/>
          <w:marRight w:val="0"/>
          <w:marTop w:val="0"/>
          <w:marBottom w:val="0"/>
          <w:divBdr>
            <w:top w:val="none" w:sz="0" w:space="0" w:color="auto"/>
            <w:left w:val="single" w:sz="2" w:space="0" w:color="CECECE"/>
            <w:bottom w:val="none" w:sz="0" w:space="0" w:color="auto"/>
            <w:right w:val="single" w:sz="2" w:space="0" w:color="CECECE"/>
          </w:divBdr>
          <w:divsChild>
            <w:div w:id="1863543708">
              <w:marLeft w:val="0"/>
              <w:marRight w:val="0"/>
              <w:marTop w:val="160"/>
              <w:marBottom w:val="320"/>
              <w:divBdr>
                <w:top w:val="none" w:sz="0" w:space="0" w:color="auto"/>
                <w:left w:val="none" w:sz="0" w:space="0" w:color="auto"/>
                <w:bottom w:val="none" w:sz="0" w:space="0" w:color="auto"/>
                <w:right w:val="none" w:sz="0" w:space="0" w:color="auto"/>
              </w:divBdr>
              <w:divsChild>
                <w:div w:id="1863543761">
                  <w:marLeft w:val="0"/>
                  <w:marRight w:val="0"/>
                  <w:marTop w:val="0"/>
                  <w:marBottom w:val="0"/>
                  <w:divBdr>
                    <w:top w:val="none" w:sz="0" w:space="0" w:color="auto"/>
                    <w:left w:val="none" w:sz="0" w:space="0" w:color="auto"/>
                    <w:bottom w:val="none" w:sz="0" w:space="0" w:color="auto"/>
                    <w:right w:val="none" w:sz="0" w:space="0" w:color="auto"/>
                  </w:divBdr>
                  <w:divsChild>
                    <w:div w:id="1863543573">
                      <w:marLeft w:val="80"/>
                      <w:marRight w:val="0"/>
                      <w:marTop w:val="0"/>
                      <w:marBottom w:val="0"/>
                      <w:divBdr>
                        <w:top w:val="none" w:sz="0" w:space="0" w:color="auto"/>
                        <w:left w:val="none" w:sz="0" w:space="0" w:color="auto"/>
                        <w:bottom w:val="none" w:sz="0" w:space="0" w:color="auto"/>
                        <w:right w:val="none" w:sz="0" w:space="0" w:color="auto"/>
                      </w:divBdr>
                      <w:divsChild>
                        <w:div w:id="1863543576">
                          <w:marLeft w:val="800"/>
                          <w:marRight w:val="0"/>
                          <w:marTop w:val="0"/>
                          <w:marBottom w:val="320"/>
                          <w:divBdr>
                            <w:top w:val="none" w:sz="0" w:space="0" w:color="auto"/>
                            <w:left w:val="none" w:sz="0" w:space="0" w:color="auto"/>
                            <w:bottom w:val="none" w:sz="0" w:space="0" w:color="auto"/>
                            <w:right w:val="none" w:sz="0" w:space="0" w:color="auto"/>
                          </w:divBdr>
                          <w:divsChild>
                            <w:div w:id="1863543726">
                              <w:marLeft w:val="0"/>
                              <w:marRight w:val="0"/>
                              <w:marTop w:val="0"/>
                              <w:marBottom w:val="0"/>
                              <w:divBdr>
                                <w:top w:val="none" w:sz="0" w:space="0" w:color="auto"/>
                                <w:left w:val="none" w:sz="0" w:space="0" w:color="auto"/>
                                <w:bottom w:val="none" w:sz="0" w:space="0" w:color="auto"/>
                                <w:right w:val="none" w:sz="0" w:space="0" w:color="auto"/>
                              </w:divBdr>
                              <w:divsChild>
                                <w:div w:id="1863543702">
                                  <w:marLeft w:val="120"/>
                                  <w:marRight w:val="0"/>
                                  <w:marTop w:val="0"/>
                                  <w:marBottom w:val="240"/>
                                  <w:divBdr>
                                    <w:top w:val="none" w:sz="0" w:space="0" w:color="auto"/>
                                    <w:left w:val="none" w:sz="0" w:space="0" w:color="auto"/>
                                    <w:bottom w:val="none" w:sz="0" w:space="0" w:color="auto"/>
                                    <w:right w:val="none" w:sz="0" w:space="0" w:color="auto"/>
                                  </w:divBdr>
                                </w:div>
                                <w:div w:id="1863543751">
                                  <w:marLeft w:val="12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77">
      <w:marLeft w:val="0"/>
      <w:marRight w:val="0"/>
      <w:marTop w:val="0"/>
      <w:marBottom w:val="0"/>
      <w:divBdr>
        <w:top w:val="none" w:sz="0" w:space="0" w:color="auto"/>
        <w:left w:val="none" w:sz="0" w:space="0" w:color="auto"/>
        <w:bottom w:val="none" w:sz="0" w:space="0" w:color="auto"/>
        <w:right w:val="none" w:sz="0" w:space="0" w:color="auto"/>
      </w:divBdr>
    </w:div>
    <w:div w:id="1863543780">
      <w:marLeft w:val="0"/>
      <w:marRight w:val="0"/>
      <w:marTop w:val="0"/>
      <w:marBottom w:val="0"/>
      <w:divBdr>
        <w:top w:val="none" w:sz="0" w:space="0" w:color="auto"/>
        <w:left w:val="none" w:sz="0" w:space="0" w:color="auto"/>
        <w:bottom w:val="none" w:sz="0" w:space="0" w:color="auto"/>
        <w:right w:val="none" w:sz="0" w:space="0" w:color="auto"/>
      </w:divBdr>
    </w:div>
    <w:div w:id="1863543781">
      <w:marLeft w:val="0"/>
      <w:marRight w:val="0"/>
      <w:marTop w:val="0"/>
      <w:marBottom w:val="0"/>
      <w:divBdr>
        <w:top w:val="none" w:sz="0" w:space="0" w:color="auto"/>
        <w:left w:val="none" w:sz="0" w:space="0" w:color="auto"/>
        <w:bottom w:val="none" w:sz="0" w:space="0" w:color="auto"/>
        <w:right w:val="none" w:sz="0" w:space="0" w:color="auto"/>
      </w:divBdr>
      <w:divsChild>
        <w:div w:id="1863543789">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79">
              <w:marLeft w:val="0"/>
              <w:marRight w:val="0"/>
              <w:marTop w:val="0"/>
              <w:marBottom w:val="0"/>
              <w:divBdr>
                <w:top w:val="none" w:sz="0" w:space="0" w:color="auto"/>
                <w:left w:val="none" w:sz="0" w:space="0" w:color="auto"/>
                <w:bottom w:val="none" w:sz="0" w:space="0" w:color="auto"/>
                <w:right w:val="none" w:sz="0" w:space="0" w:color="auto"/>
              </w:divBdr>
              <w:divsChild>
                <w:div w:id="1863543788">
                  <w:marLeft w:val="0"/>
                  <w:marRight w:val="0"/>
                  <w:marTop w:val="0"/>
                  <w:marBottom w:val="0"/>
                  <w:divBdr>
                    <w:top w:val="none" w:sz="0" w:space="0" w:color="auto"/>
                    <w:left w:val="none" w:sz="0" w:space="0" w:color="auto"/>
                    <w:bottom w:val="none" w:sz="0" w:space="0" w:color="auto"/>
                    <w:right w:val="none" w:sz="0" w:space="0" w:color="auto"/>
                  </w:divBdr>
                  <w:divsChild>
                    <w:div w:id="1863543787">
                      <w:marLeft w:val="0"/>
                      <w:marRight w:val="0"/>
                      <w:marTop w:val="0"/>
                      <w:marBottom w:val="0"/>
                      <w:divBdr>
                        <w:top w:val="none" w:sz="0" w:space="0" w:color="auto"/>
                        <w:left w:val="none" w:sz="0" w:space="0" w:color="auto"/>
                        <w:bottom w:val="none" w:sz="0" w:space="0" w:color="auto"/>
                        <w:right w:val="none" w:sz="0" w:space="0" w:color="auto"/>
                      </w:divBdr>
                      <w:divsChild>
                        <w:div w:id="1863543782">
                          <w:marLeft w:val="0"/>
                          <w:marRight w:val="0"/>
                          <w:marTop w:val="85"/>
                          <w:marBottom w:val="0"/>
                          <w:divBdr>
                            <w:top w:val="none" w:sz="0" w:space="0" w:color="auto"/>
                            <w:left w:val="none" w:sz="0" w:space="0" w:color="auto"/>
                            <w:bottom w:val="none" w:sz="0" w:space="0" w:color="auto"/>
                            <w:right w:val="none" w:sz="0" w:space="0" w:color="auto"/>
                          </w:divBdr>
                          <w:divsChild>
                            <w:div w:id="1863543786">
                              <w:marLeft w:val="0"/>
                              <w:marRight w:val="0"/>
                              <w:marTop w:val="0"/>
                              <w:marBottom w:val="0"/>
                              <w:divBdr>
                                <w:top w:val="none" w:sz="0" w:space="0" w:color="auto"/>
                                <w:left w:val="none" w:sz="0" w:space="0" w:color="auto"/>
                                <w:bottom w:val="none" w:sz="0" w:space="0" w:color="auto"/>
                                <w:right w:val="none" w:sz="0" w:space="0" w:color="auto"/>
                              </w:divBdr>
                              <w:divsChild>
                                <w:div w:id="1863543784">
                                  <w:marLeft w:val="0"/>
                                  <w:marRight w:val="0"/>
                                  <w:marTop w:val="42"/>
                                  <w:marBottom w:val="0"/>
                                  <w:divBdr>
                                    <w:top w:val="none" w:sz="0" w:space="0" w:color="auto"/>
                                    <w:left w:val="none" w:sz="0" w:space="0" w:color="auto"/>
                                    <w:bottom w:val="none" w:sz="0" w:space="0" w:color="auto"/>
                                    <w:right w:val="none" w:sz="0" w:space="0" w:color="auto"/>
                                  </w:divBdr>
                                </w:div>
                                <w:div w:id="1863543785">
                                  <w:marLeft w:val="0"/>
                                  <w:marRight w:val="0"/>
                                  <w:marTop w:val="42"/>
                                  <w:marBottom w:val="0"/>
                                  <w:divBdr>
                                    <w:top w:val="none" w:sz="0" w:space="0" w:color="auto"/>
                                    <w:left w:val="none" w:sz="0" w:space="0" w:color="auto"/>
                                    <w:bottom w:val="none" w:sz="0" w:space="0" w:color="auto"/>
                                    <w:right w:val="none" w:sz="0" w:space="0" w:color="auto"/>
                                  </w:divBdr>
                                </w:div>
                                <w:div w:id="1863543790">
                                  <w:marLeft w:val="0"/>
                                  <w:marRight w:val="0"/>
                                  <w:marTop w:val="42"/>
                                  <w:marBottom w:val="0"/>
                                  <w:divBdr>
                                    <w:top w:val="none" w:sz="0" w:space="0" w:color="auto"/>
                                    <w:left w:val="none" w:sz="0" w:space="0" w:color="auto"/>
                                    <w:bottom w:val="none" w:sz="0" w:space="0" w:color="auto"/>
                                    <w:right w:val="none" w:sz="0" w:space="0" w:color="auto"/>
                                  </w:divBdr>
                                </w:div>
                                <w:div w:id="186354379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83">
      <w:marLeft w:val="0"/>
      <w:marRight w:val="0"/>
      <w:marTop w:val="0"/>
      <w:marBottom w:val="0"/>
      <w:divBdr>
        <w:top w:val="none" w:sz="0" w:space="0" w:color="auto"/>
        <w:left w:val="none" w:sz="0" w:space="0" w:color="auto"/>
        <w:bottom w:val="none" w:sz="0" w:space="0" w:color="auto"/>
        <w:right w:val="none" w:sz="0" w:space="0" w:color="auto"/>
      </w:divBdr>
    </w:div>
    <w:div w:id="1863543792">
      <w:marLeft w:val="0"/>
      <w:marRight w:val="0"/>
      <w:marTop w:val="0"/>
      <w:marBottom w:val="0"/>
      <w:divBdr>
        <w:top w:val="none" w:sz="0" w:space="0" w:color="auto"/>
        <w:left w:val="none" w:sz="0" w:space="0" w:color="auto"/>
        <w:bottom w:val="none" w:sz="0" w:space="0" w:color="auto"/>
        <w:right w:val="none" w:sz="0" w:space="0" w:color="auto"/>
      </w:divBdr>
    </w:div>
    <w:div w:id="1888562637">
      <w:bodyDiv w:val="1"/>
      <w:marLeft w:val="0"/>
      <w:marRight w:val="0"/>
      <w:marTop w:val="0"/>
      <w:marBottom w:val="0"/>
      <w:divBdr>
        <w:top w:val="none" w:sz="0" w:space="0" w:color="auto"/>
        <w:left w:val="none" w:sz="0" w:space="0" w:color="auto"/>
        <w:bottom w:val="none" w:sz="0" w:space="0" w:color="auto"/>
        <w:right w:val="none" w:sz="0" w:space="0" w:color="auto"/>
      </w:divBdr>
    </w:div>
    <w:div w:id="1958635110">
      <w:bodyDiv w:val="1"/>
      <w:marLeft w:val="0"/>
      <w:marRight w:val="0"/>
      <w:marTop w:val="0"/>
      <w:marBottom w:val="0"/>
      <w:divBdr>
        <w:top w:val="none" w:sz="0" w:space="0" w:color="auto"/>
        <w:left w:val="none" w:sz="0" w:space="0" w:color="auto"/>
        <w:bottom w:val="none" w:sz="0" w:space="0" w:color="auto"/>
        <w:right w:val="none" w:sz="0" w:space="0" w:color="auto"/>
      </w:divBdr>
    </w:div>
    <w:div w:id="1959681505">
      <w:bodyDiv w:val="1"/>
      <w:marLeft w:val="0"/>
      <w:marRight w:val="0"/>
      <w:marTop w:val="0"/>
      <w:marBottom w:val="0"/>
      <w:divBdr>
        <w:top w:val="none" w:sz="0" w:space="0" w:color="auto"/>
        <w:left w:val="none" w:sz="0" w:space="0" w:color="auto"/>
        <w:bottom w:val="none" w:sz="0" w:space="0" w:color="auto"/>
        <w:right w:val="none" w:sz="0" w:space="0" w:color="auto"/>
      </w:divBdr>
      <w:divsChild>
        <w:div w:id="757796019">
          <w:marLeft w:val="720"/>
          <w:marRight w:val="0"/>
          <w:marTop w:val="82"/>
          <w:marBottom w:val="0"/>
          <w:divBdr>
            <w:top w:val="none" w:sz="0" w:space="0" w:color="auto"/>
            <w:left w:val="none" w:sz="0" w:space="0" w:color="auto"/>
            <w:bottom w:val="none" w:sz="0" w:space="0" w:color="auto"/>
            <w:right w:val="none" w:sz="0" w:space="0" w:color="auto"/>
          </w:divBdr>
        </w:div>
        <w:div w:id="1840387179">
          <w:marLeft w:val="1354"/>
          <w:marRight w:val="0"/>
          <w:marTop w:val="72"/>
          <w:marBottom w:val="0"/>
          <w:divBdr>
            <w:top w:val="none" w:sz="0" w:space="0" w:color="auto"/>
            <w:left w:val="none" w:sz="0" w:space="0" w:color="auto"/>
            <w:bottom w:val="none" w:sz="0" w:space="0" w:color="auto"/>
            <w:right w:val="none" w:sz="0" w:space="0" w:color="auto"/>
          </w:divBdr>
        </w:div>
        <w:div w:id="693309133">
          <w:marLeft w:val="1354"/>
          <w:marRight w:val="0"/>
          <w:marTop w:val="72"/>
          <w:marBottom w:val="240"/>
          <w:divBdr>
            <w:top w:val="none" w:sz="0" w:space="0" w:color="auto"/>
            <w:left w:val="none" w:sz="0" w:space="0" w:color="auto"/>
            <w:bottom w:val="none" w:sz="0" w:space="0" w:color="auto"/>
            <w:right w:val="none" w:sz="0" w:space="0" w:color="auto"/>
          </w:divBdr>
        </w:div>
        <w:div w:id="718362650">
          <w:marLeft w:val="720"/>
          <w:marRight w:val="0"/>
          <w:marTop w:val="82"/>
          <w:marBottom w:val="0"/>
          <w:divBdr>
            <w:top w:val="none" w:sz="0" w:space="0" w:color="auto"/>
            <w:left w:val="none" w:sz="0" w:space="0" w:color="auto"/>
            <w:bottom w:val="none" w:sz="0" w:space="0" w:color="auto"/>
            <w:right w:val="none" w:sz="0" w:space="0" w:color="auto"/>
          </w:divBdr>
        </w:div>
        <w:div w:id="381367862">
          <w:marLeft w:val="1354"/>
          <w:marRight w:val="0"/>
          <w:marTop w:val="72"/>
          <w:marBottom w:val="0"/>
          <w:divBdr>
            <w:top w:val="none" w:sz="0" w:space="0" w:color="auto"/>
            <w:left w:val="none" w:sz="0" w:space="0" w:color="auto"/>
            <w:bottom w:val="none" w:sz="0" w:space="0" w:color="auto"/>
            <w:right w:val="none" w:sz="0" w:space="0" w:color="auto"/>
          </w:divBdr>
        </w:div>
        <w:div w:id="1050806063">
          <w:marLeft w:val="1354"/>
          <w:marRight w:val="0"/>
          <w:marTop w:val="72"/>
          <w:marBottom w:val="0"/>
          <w:divBdr>
            <w:top w:val="none" w:sz="0" w:space="0" w:color="auto"/>
            <w:left w:val="none" w:sz="0" w:space="0" w:color="auto"/>
            <w:bottom w:val="none" w:sz="0" w:space="0" w:color="auto"/>
            <w:right w:val="none" w:sz="0" w:space="0" w:color="auto"/>
          </w:divBdr>
        </w:div>
        <w:div w:id="1642032462">
          <w:marLeft w:val="1987"/>
          <w:marRight w:val="0"/>
          <w:marTop w:val="67"/>
          <w:marBottom w:val="0"/>
          <w:divBdr>
            <w:top w:val="none" w:sz="0" w:space="0" w:color="auto"/>
            <w:left w:val="none" w:sz="0" w:space="0" w:color="auto"/>
            <w:bottom w:val="none" w:sz="0" w:space="0" w:color="auto"/>
            <w:right w:val="none" w:sz="0" w:space="0" w:color="auto"/>
          </w:divBdr>
        </w:div>
        <w:div w:id="1168056089">
          <w:marLeft w:val="1987"/>
          <w:marRight w:val="0"/>
          <w:marTop w:val="67"/>
          <w:marBottom w:val="0"/>
          <w:divBdr>
            <w:top w:val="none" w:sz="0" w:space="0" w:color="auto"/>
            <w:left w:val="none" w:sz="0" w:space="0" w:color="auto"/>
            <w:bottom w:val="none" w:sz="0" w:space="0" w:color="auto"/>
            <w:right w:val="none" w:sz="0" w:space="0" w:color="auto"/>
          </w:divBdr>
        </w:div>
        <w:div w:id="579021521">
          <w:marLeft w:val="1354"/>
          <w:marRight w:val="0"/>
          <w:marTop w:val="72"/>
          <w:marBottom w:val="0"/>
          <w:divBdr>
            <w:top w:val="none" w:sz="0" w:space="0" w:color="auto"/>
            <w:left w:val="none" w:sz="0" w:space="0" w:color="auto"/>
            <w:bottom w:val="none" w:sz="0" w:space="0" w:color="auto"/>
            <w:right w:val="none" w:sz="0" w:space="0" w:color="auto"/>
          </w:divBdr>
        </w:div>
        <w:div w:id="575632851">
          <w:marLeft w:val="1987"/>
          <w:marRight w:val="0"/>
          <w:marTop w:val="67"/>
          <w:marBottom w:val="0"/>
          <w:divBdr>
            <w:top w:val="none" w:sz="0" w:space="0" w:color="auto"/>
            <w:left w:val="none" w:sz="0" w:space="0" w:color="auto"/>
            <w:bottom w:val="none" w:sz="0" w:space="0" w:color="auto"/>
            <w:right w:val="none" w:sz="0" w:space="0" w:color="auto"/>
          </w:divBdr>
        </w:div>
        <w:div w:id="715859853">
          <w:marLeft w:val="1987"/>
          <w:marRight w:val="0"/>
          <w:marTop w:val="67"/>
          <w:marBottom w:val="0"/>
          <w:divBdr>
            <w:top w:val="none" w:sz="0" w:space="0" w:color="auto"/>
            <w:left w:val="none" w:sz="0" w:space="0" w:color="auto"/>
            <w:bottom w:val="none" w:sz="0" w:space="0" w:color="auto"/>
            <w:right w:val="none" w:sz="0" w:space="0" w:color="auto"/>
          </w:divBdr>
        </w:div>
        <w:div w:id="241526994">
          <w:marLeft w:val="1987"/>
          <w:marRight w:val="0"/>
          <w:marTop w:val="67"/>
          <w:marBottom w:val="0"/>
          <w:divBdr>
            <w:top w:val="none" w:sz="0" w:space="0" w:color="auto"/>
            <w:left w:val="none" w:sz="0" w:space="0" w:color="auto"/>
            <w:bottom w:val="none" w:sz="0" w:space="0" w:color="auto"/>
            <w:right w:val="none" w:sz="0" w:space="0" w:color="auto"/>
          </w:divBdr>
        </w:div>
        <w:div w:id="1760172045">
          <w:marLeft w:val="1987"/>
          <w:marRight w:val="0"/>
          <w:marTop w:val="67"/>
          <w:marBottom w:val="0"/>
          <w:divBdr>
            <w:top w:val="none" w:sz="0" w:space="0" w:color="auto"/>
            <w:left w:val="none" w:sz="0" w:space="0" w:color="auto"/>
            <w:bottom w:val="none" w:sz="0" w:space="0" w:color="auto"/>
            <w:right w:val="none" w:sz="0" w:space="0" w:color="auto"/>
          </w:divBdr>
        </w:div>
        <w:div w:id="1900170068">
          <w:marLeft w:val="1354"/>
          <w:marRight w:val="0"/>
          <w:marTop w:val="72"/>
          <w:marBottom w:val="0"/>
          <w:divBdr>
            <w:top w:val="none" w:sz="0" w:space="0" w:color="auto"/>
            <w:left w:val="none" w:sz="0" w:space="0" w:color="auto"/>
            <w:bottom w:val="none" w:sz="0" w:space="0" w:color="auto"/>
            <w:right w:val="none" w:sz="0" w:space="0" w:color="auto"/>
          </w:divBdr>
        </w:div>
      </w:divsChild>
    </w:div>
    <w:div w:id="1992757026">
      <w:bodyDiv w:val="1"/>
      <w:marLeft w:val="0"/>
      <w:marRight w:val="0"/>
      <w:marTop w:val="0"/>
      <w:marBottom w:val="0"/>
      <w:divBdr>
        <w:top w:val="none" w:sz="0" w:space="0" w:color="auto"/>
        <w:left w:val="none" w:sz="0" w:space="0" w:color="auto"/>
        <w:bottom w:val="none" w:sz="0" w:space="0" w:color="auto"/>
        <w:right w:val="none" w:sz="0" w:space="0" w:color="auto"/>
      </w:divBdr>
    </w:div>
    <w:div w:id="2037535363">
      <w:bodyDiv w:val="1"/>
      <w:marLeft w:val="0"/>
      <w:marRight w:val="0"/>
      <w:marTop w:val="0"/>
      <w:marBottom w:val="0"/>
      <w:divBdr>
        <w:top w:val="none" w:sz="0" w:space="0" w:color="auto"/>
        <w:left w:val="none" w:sz="0" w:space="0" w:color="auto"/>
        <w:bottom w:val="none" w:sz="0" w:space="0" w:color="auto"/>
        <w:right w:val="none" w:sz="0" w:space="0" w:color="auto"/>
      </w:divBdr>
    </w:div>
    <w:div w:id="2073850561">
      <w:bodyDiv w:val="1"/>
      <w:marLeft w:val="0"/>
      <w:marRight w:val="0"/>
      <w:marTop w:val="0"/>
      <w:marBottom w:val="0"/>
      <w:divBdr>
        <w:top w:val="none" w:sz="0" w:space="0" w:color="auto"/>
        <w:left w:val="none" w:sz="0" w:space="0" w:color="auto"/>
        <w:bottom w:val="none" w:sz="0" w:space="0" w:color="auto"/>
        <w:right w:val="none" w:sz="0" w:space="0" w:color="auto"/>
      </w:divBdr>
    </w:div>
    <w:div w:id="20764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12.png"/><Relationship Id="rId10" Type="http://schemas.openxmlformats.org/officeDocument/2006/relationships/image" Target="media/image8.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7.jpeg"/><Relationship Id="rId14" Type="http://schemas.openxmlformats.org/officeDocument/2006/relationships/chart" Target="charts/char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G:\Observatorio%20en%20curso\Demanda%20de%20medicament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rique\Desktop\Datos%20art&#237;cu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rique\Desktop\Datos%20art&#237;cu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rique\Desktop\Datos%20art&#237;cu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3"/>
    </mc:Choice>
    <mc:Fallback>
      <c:style val="43"/>
    </mc:Fallback>
  </mc:AlternateContent>
  <c:chart>
    <c:title>
      <c:tx>
        <c:rich>
          <a:bodyPr/>
          <a:lstStyle/>
          <a:p>
            <a:pPr>
              <a:defRPr/>
            </a:pPr>
            <a:r>
              <a:rPr lang="es-ES"/>
              <a:t>%crecimiento de recetas +/-</a:t>
            </a:r>
          </a:p>
        </c:rich>
      </c:tx>
      <c:layout>
        <c:manualLayout>
          <c:xMode val="edge"/>
          <c:yMode val="edge"/>
          <c:x val="0.20803471421167893"/>
          <c:y val="2.7777671858814256E-2"/>
        </c:manualLayout>
      </c:layout>
      <c:overlay val="0"/>
    </c:title>
    <c:autoTitleDeleted val="0"/>
    <c:plotArea>
      <c:layout>
        <c:manualLayout>
          <c:layoutTarget val="inner"/>
          <c:xMode val="edge"/>
          <c:yMode val="edge"/>
          <c:x val="5.8123386750569224E-2"/>
          <c:y val="0.21795149857764787"/>
          <c:w val="0.90303937007874013"/>
          <c:h val="0.75379593175853021"/>
        </c:manualLayout>
      </c:layout>
      <c:barChart>
        <c:barDir val="col"/>
        <c:grouping val="clustered"/>
        <c:varyColors val="0"/>
        <c:ser>
          <c:idx val="0"/>
          <c:order val="0"/>
          <c:tx>
            <c:strRef>
              <c:f>Hoja1!$B$42</c:f>
              <c:strCache>
                <c:ptCount val="1"/>
                <c:pt idx="0">
                  <c:v>%crecimiento +/-</c:v>
                </c:pt>
              </c:strCache>
            </c:strRef>
          </c:tx>
          <c:spPr>
            <a:solidFill>
              <a:srgbClr val="FFC000"/>
            </a:solidFill>
          </c:spPr>
          <c:invertIfNegative val="0"/>
          <c:dPt>
            <c:idx val="0"/>
            <c:invertIfNegative val="0"/>
            <c:bubble3D val="0"/>
          </c:dPt>
          <c:dPt>
            <c:idx val="1"/>
            <c:invertIfNegative val="0"/>
            <c:bubble3D val="0"/>
          </c:dPt>
          <c:dPt>
            <c:idx val="2"/>
            <c:invertIfNegative val="0"/>
            <c:bubble3D val="0"/>
            <c:spPr>
              <a:solidFill>
                <a:srgbClr val="00B0F0"/>
              </a:solidFill>
            </c:spPr>
          </c:dPt>
          <c:dPt>
            <c:idx val="3"/>
            <c:invertIfNegative val="0"/>
            <c:bubble3D val="0"/>
          </c:dPt>
          <c:dPt>
            <c:idx val="4"/>
            <c:invertIfNegative val="0"/>
            <c:bubble3D val="0"/>
          </c:dPt>
          <c:dPt>
            <c:idx val="5"/>
            <c:invertIfNegative val="0"/>
            <c:bubble3D val="0"/>
            <c:spPr>
              <a:solidFill>
                <a:srgbClr val="00B0F0"/>
              </a:solidFill>
            </c:spPr>
          </c:dPt>
          <c:dPt>
            <c:idx val="6"/>
            <c:invertIfNegative val="0"/>
            <c:bubble3D val="0"/>
          </c:dPt>
          <c:dPt>
            <c:idx val="7"/>
            <c:invertIfNegative val="0"/>
            <c:bubble3D val="0"/>
          </c:dPt>
          <c:dPt>
            <c:idx val="8"/>
            <c:invertIfNegative val="0"/>
            <c:bubble3D val="0"/>
          </c:dPt>
          <c:dPt>
            <c:idx val="9"/>
            <c:invertIfNegative val="0"/>
            <c:bubble3D val="0"/>
            <c:spPr>
              <a:solidFill>
                <a:srgbClr val="00B0F0"/>
              </a:solidFill>
            </c:spPr>
          </c:dPt>
          <c:dPt>
            <c:idx val="10"/>
            <c:invertIfNegative val="0"/>
            <c:bubble3D val="0"/>
          </c:dPt>
          <c:dPt>
            <c:idx val="11"/>
            <c:invertIfNegative val="0"/>
            <c:bubble3D val="0"/>
            <c:spPr>
              <a:solidFill>
                <a:srgbClr val="00B0F0"/>
              </a:solidFill>
            </c:spPr>
          </c:dPt>
          <c:dPt>
            <c:idx val="12"/>
            <c:invertIfNegative val="0"/>
            <c:bubble3D val="0"/>
          </c:dPt>
          <c:dPt>
            <c:idx val="13"/>
            <c:invertIfNegative val="0"/>
            <c:bubble3D val="0"/>
            <c:spPr>
              <a:solidFill>
                <a:schemeClr val="accent5"/>
              </a:solidFill>
            </c:spPr>
          </c:dPt>
          <c:dLbls>
            <c:dLbl>
              <c:idx val="0"/>
              <c:layout>
                <c:manualLayout>
                  <c:x val="8.3333061628166043E-3"/>
                  <c:y val="2.8883964354755056E-3"/>
                </c:manualLayout>
              </c:layout>
              <c:spPr/>
              <c:txPr>
                <a:bodyPr/>
                <a:lstStyle/>
                <a:p>
                  <a:pPr>
                    <a:defRPr/>
                  </a:pPr>
                  <a:endParaRPr lang="es-ES"/>
                </a:p>
              </c:txPr>
              <c:dLblPos val="outEnd"/>
              <c:showLegendKey val="0"/>
              <c:showVal val="1"/>
              <c:showCatName val="0"/>
              <c:showSerName val="0"/>
              <c:showPercent val="0"/>
              <c:showBubbleSize val="0"/>
            </c:dLbl>
            <c:dLbl>
              <c:idx val="1"/>
              <c:layout>
                <c:manualLayout>
                  <c:x val="0"/>
                  <c:y val="-2.7777777777777776E-2"/>
                </c:manualLayout>
              </c:layout>
              <c:spPr/>
              <c:txPr>
                <a:bodyPr/>
                <a:lstStyle/>
                <a:p>
                  <a:pPr>
                    <a:defRPr/>
                  </a:pPr>
                  <a:endParaRPr lang="es-ES"/>
                </a:p>
              </c:txPr>
              <c:dLblPos val="outEnd"/>
              <c:showLegendKey val="0"/>
              <c:showVal val="1"/>
              <c:showCatName val="0"/>
              <c:showSerName val="0"/>
              <c:showPercent val="0"/>
              <c:showBubbleSize val="0"/>
            </c:dLbl>
            <c:dLbl>
              <c:idx val="2"/>
              <c:layout>
                <c:manualLayout>
                  <c:x val="8.3333333333333332E-3"/>
                  <c:y val="-4.1420881711819922E-2"/>
                </c:manualLayout>
              </c:layout>
              <c:spPr/>
              <c:txPr>
                <a:bodyPr/>
                <a:lstStyle/>
                <a:p>
                  <a:pPr>
                    <a:defRPr/>
                  </a:pPr>
                  <a:endParaRPr lang="es-ES"/>
                </a:p>
              </c:txPr>
              <c:dLblPos val="outEnd"/>
              <c:showLegendKey val="0"/>
              <c:showVal val="1"/>
              <c:showCatName val="0"/>
              <c:showSerName val="0"/>
              <c:showPercent val="0"/>
              <c:showBubbleSize val="0"/>
            </c:dLbl>
            <c:dLbl>
              <c:idx val="3"/>
              <c:layout>
                <c:manualLayout>
                  <c:x val="-1.2391962151227912E-4"/>
                  <c:y val="-7.9574701220599849E-3"/>
                </c:manualLayout>
              </c:layout>
              <c:spPr/>
              <c:txPr>
                <a:bodyPr/>
                <a:lstStyle/>
                <a:p>
                  <a:pPr>
                    <a:defRPr/>
                  </a:pPr>
                  <a:endParaRPr lang="es-ES"/>
                </a:p>
              </c:txPr>
              <c:dLblPos val="outEnd"/>
              <c:showLegendKey val="0"/>
              <c:showVal val="1"/>
              <c:showCatName val="0"/>
              <c:showSerName val="0"/>
              <c:showPercent val="0"/>
              <c:showBubbleSize val="0"/>
            </c:dLbl>
            <c:dLbl>
              <c:idx val="4"/>
              <c:layout>
                <c:manualLayout>
                  <c:x val="2.7778474346757611E-3"/>
                  <c:y val="-1.7801263919679945E-2"/>
                </c:manualLayout>
              </c:layout>
              <c:spPr/>
              <c:txPr>
                <a:bodyPr/>
                <a:lstStyle/>
                <a:p>
                  <a:pPr>
                    <a:defRPr/>
                  </a:pPr>
                  <a:endParaRPr lang="es-ES"/>
                </a:p>
              </c:txPr>
              <c:dLblPos val="outEnd"/>
              <c:showLegendKey val="0"/>
              <c:showVal val="1"/>
              <c:showCatName val="0"/>
              <c:showSerName val="0"/>
              <c:showPercent val="0"/>
              <c:showBubbleSize val="0"/>
            </c:dLbl>
            <c:dLbl>
              <c:idx val="5"/>
              <c:layout>
                <c:manualLayout>
                  <c:x val="-7.8378638179781666E-3"/>
                  <c:y val="-9.6699141420881707E-2"/>
                </c:manualLayout>
              </c:layout>
              <c:spPr/>
              <c:txPr>
                <a:bodyPr/>
                <a:lstStyle/>
                <a:p>
                  <a:pPr>
                    <a:defRPr/>
                  </a:pPr>
                  <a:endParaRPr lang="es-ES"/>
                </a:p>
              </c:txPr>
              <c:dLblPos val="outEnd"/>
              <c:showLegendKey val="0"/>
              <c:showVal val="1"/>
              <c:showCatName val="0"/>
              <c:showSerName val="0"/>
              <c:showPercent val="0"/>
              <c:showBubbleSize val="0"/>
            </c:dLbl>
            <c:dLbl>
              <c:idx val="6"/>
              <c:layout>
                <c:manualLayout>
                  <c:x val="1.2368019214989431E-4"/>
                  <c:y val="-0.10120986373709275"/>
                </c:manualLayout>
              </c:layout>
              <c:spPr/>
              <c:txPr>
                <a:bodyPr/>
                <a:lstStyle/>
                <a:p>
                  <a:pPr>
                    <a:defRPr/>
                  </a:pPr>
                  <a:endParaRPr lang="es-ES"/>
                </a:p>
              </c:txPr>
              <c:dLblPos val="outEnd"/>
              <c:showLegendKey val="0"/>
              <c:showVal val="1"/>
              <c:showCatName val="0"/>
              <c:showSerName val="0"/>
              <c:showPercent val="0"/>
              <c:showBubbleSize val="0"/>
            </c:dLbl>
            <c:dLbl>
              <c:idx val="7"/>
              <c:layout>
                <c:manualLayout>
                  <c:x val="2.4757774843361973E-4"/>
                  <c:y val="-1.0471969446932905E-2"/>
                </c:manualLayout>
              </c:layout>
              <c:spPr/>
              <c:txPr>
                <a:bodyPr/>
                <a:lstStyle/>
                <a:p>
                  <a:pPr>
                    <a:defRPr/>
                  </a:pPr>
                  <a:endParaRPr lang="es-ES"/>
                </a:p>
              </c:txPr>
              <c:dLblPos val="outEnd"/>
              <c:showLegendKey val="0"/>
              <c:showVal val="1"/>
              <c:showCatName val="0"/>
              <c:showSerName val="0"/>
              <c:showPercent val="0"/>
              <c:showBubbleSize val="0"/>
            </c:dLbl>
            <c:dLbl>
              <c:idx val="8"/>
              <c:layout>
                <c:manualLayout>
                  <c:x val="0"/>
                  <c:y val="-0.11388938658116837"/>
                </c:manualLayout>
              </c:layout>
              <c:spPr/>
              <c:txPr>
                <a:bodyPr/>
                <a:lstStyle/>
                <a:p>
                  <a:pPr>
                    <a:defRPr/>
                  </a:pPr>
                  <a:endParaRPr lang="es-ES"/>
                </a:p>
              </c:txPr>
              <c:dLblPos val="outEnd"/>
              <c:showLegendKey val="0"/>
              <c:showVal val="1"/>
              <c:showCatName val="0"/>
              <c:showSerName val="0"/>
              <c:showPercent val="0"/>
              <c:showBubbleSize val="0"/>
            </c:dLbl>
            <c:dLbl>
              <c:idx val="9"/>
              <c:layout>
                <c:manualLayout>
                  <c:x val="-2.495945968537275E-3"/>
                  <c:y val="-1.0050014934573857E-2"/>
                </c:manualLayout>
              </c:layout>
              <c:spPr/>
              <c:txPr>
                <a:bodyPr/>
                <a:lstStyle/>
                <a:p>
                  <a:pPr>
                    <a:defRPr/>
                  </a:pPr>
                  <a:endParaRPr lang="es-ES"/>
                </a:p>
              </c:txPr>
              <c:dLblPos val="outEnd"/>
              <c:showLegendKey val="0"/>
              <c:showVal val="1"/>
              <c:showCatName val="0"/>
              <c:showSerName val="0"/>
              <c:showPercent val="0"/>
              <c:showBubbleSize val="0"/>
            </c:dLbl>
            <c:dLbl>
              <c:idx val="10"/>
              <c:layout>
                <c:manualLayout>
                  <c:x val="2.7777777777777779E-3"/>
                  <c:y val="-9.2588947214931466E-3"/>
                </c:manualLayout>
              </c:layout>
              <c:spPr/>
              <c:txPr>
                <a:bodyPr/>
                <a:lstStyle/>
                <a:p>
                  <a:pPr>
                    <a:defRPr/>
                  </a:pPr>
                  <a:endParaRPr lang="es-ES"/>
                </a:p>
              </c:txPr>
              <c:dLblPos val="outEnd"/>
              <c:showLegendKey val="0"/>
              <c:showVal val="1"/>
              <c:showCatName val="0"/>
              <c:showSerName val="0"/>
              <c:showPercent val="0"/>
              <c:showBubbleSize val="0"/>
            </c:dLbl>
            <c:dLbl>
              <c:idx val="11"/>
              <c:layout>
                <c:manualLayout>
                  <c:x val="1.4084624772231675E-4"/>
                  <c:y val="2.2611580332119502E-3"/>
                </c:manualLayout>
              </c:layout>
              <c:spPr/>
              <c:txPr>
                <a:bodyPr/>
                <a:lstStyle/>
                <a:p>
                  <a:pPr>
                    <a:defRPr/>
                  </a:pPr>
                  <a:endParaRPr lang="es-ES"/>
                </a:p>
              </c:txPr>
              <c:dLblPos val="outEnd"/>
              <c:showLegendKey val="0"/>
              <c:showVal val="1"/>
              <c:showCatName val="0"/>
              <c:showSerName val="0"/>
              <c:showPercent val="0"/>
              <c:showBubbleSize val="0"/>
            </c:dLbl>
            <c:dLbl>
              <c:idx val="12"/>
              <c:layout>
                <c:manualLayout>
                  <c:x val="-8.3161343962439484E-3"/>
                  <c:y val="-4.6288525311581558E-3"/>
                </c:manualLayout>
              </c:layout>
              <c:spPr/>
              <c:txPr>
                <a:bodyPr/>
                <a:lstStyle/>
                <a:p>
                  <a:pPr>
                    <a:defRPr/>
                  </a:pPr>
                  <a:endParaRPr lang="es-ES"/>
                </a:p>
              </c:txPr>
              <c:dLblPos val="outEnd"/>
              <c:showLegendKey val="0"/>
              <c:showVal val="1"/>
              <c:showCatName val="0"/>
              <c:showSerName val="0"/>
              <c:showPercent val="0"/>
              <c:showBubbleSize val="0"/>
            </c:dLbl>
            <c:dLbl>
              <c:idx val="13"/>
              <c:layout>
                <c:manualLayout>
                  <c:x val="1.0121806237432044E-16"/>
                  <c:y val="-8.5744416678454116E-2"/>
                </c:manualLayout>
              </c:layout>
              <c:spPr/>
              <c:txPr>
                <a:bodyPr/>
                <a:lstStyle/>
                <a:p>
                  <a:pPr>
                    <a:defRPr/>
                  </a:pPr>
                  <a:endParaRPr lang="es-ES"/>
                </a:p>
              </c:txPr>
              <c:dLblPos val="outEnd"/>
              <c:showLegendKey val="0"/>
              <c:showVal val="1"/>
              <c:showCatName val="0"/>
              <c:showSerName val="0"/>
              <c:showPercent val="0"/>
              <c:showBubbleSize val="0"/>
            </c:dLbl>
            <c:dLbl>
              <c:idx val="14"/>
              <c:layout>
                <c:manualLayout>
                  <c:x val="-2.6539278131634818E-3"/>
                  <c:y val="-6.2567209438625926E-2"/>
                </c:manualLayout>
              </c:layout>
              <c:spPr/>
              <c:txPr>
                <a:bodyPr/>
                <a:lstStyle/>
                <a:p>
                  <a:pPr>
                    <a:defRPr/>
                  </a:pPr>
                  <a:endParaRPr lang="es-E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Hoja1!$A$90:$A$103</c:f>
              <c:strCache>
                <c:ptCount val="14"/>
                <c:pt idx="0">
                  <c:v>Mayo</c:v>
                </c:pt>
                <c:pt idx="1">
                  <c:v>Junio </c:v>
                </c:pt>
                <c:pt idx="2">
                  <c:v>Julio</c:v>
                </c:pt>
                <c:pt idx="3">
                  <c:v>Agosto </c:v>
                </c:pt>
                <c:pt idx="4">
                  <c:v>Septiembre</c:v>
                </c:pt>
                <c:pt idx="5">
                  <c:v>Octubre</c:v>
                </c:pt>
                <c:pt idx="6">
                  <c:v>Noviembre</c:v>
                </c:pt>
                <c:pt idx="7">
                  <c:v>Diciembre</c:v>
                </c:pt>
                <c:pt idx="8">
                  <c:v>Enero</c:v>
                </c:pt>
                <c:pt idx="9">
                  <c:v>Febrero</c:v>
                </c:pt>
                <c:pt idx="10">
                  <c:v>Marzo</c:v>
                </c:pt>
                <c:pt idx="11">
                  <c:v>Abril</c:v>
                </c:pt>
                <c:pt idx="12">
                  <c:v>Mayo</c:v>
                </c:pt>
                <c:pt idx="13">
                  <c:v>Junio </c:v>
                </c:pt>
              </c:strCache>
            </c:strRef>
          </c:cat>
          <c:val>
            <c:numRef>
              <c:f>Hoja1!$B$90:$B$103</c:f>
              <c:numCache>
                <c:formatCode>General</c:formatCode>
                <c:ptCount val="14"/>
                <c:pt idx="0">
                  <c:v>5.42</c:v>
                </c:pt>
                <c:pt idx="1">
                  <c:v>3.46</c:v>
                </c:pt>
                <c:pt idx="2">
                  <c:v>-2.69</c:v>
                </c:pt>
                <c:pt idx="3">
                  <c:v>8.36</c:v>
                </c:pt>
                <c:pt idx="4">
                  <c:v>1.6</c:v>
                </c:pt>
                <c:pt idx="5">
                  <c:v>-1.07</c:v>
                </c:pt>
                <c:pt idx="6">
                  <c:v>4.82</c:v>
                </c:pt>
                <c:pt idx="7">
                  <c:v>1.4</c:v>
                </c:pt>
                <c:pt idx="8">
                  <c:v>6.6</c:v>
                </c:pt>
                <c:pt idx="9">
                  <c:v>-4.57</c:v>
                </c:pt>
                <c:pt idx="10">
                  <c:v>3.38</c:v>
                </c:pt>
                <c:pt idx="11">
                  <c:v>-4.66</c:v>
                </c:pt>
                <c:pt idx="12">
                  <c:v>3.66</c:v>
                </c:pt>
                <c:pt idx="13">
                  <c:v>-0.44</c:v>
                </c:pt>
              </c:numCache>
            </c:numRef>
          </c:val>
        </c:ser>
        <c:dLbls>
          <c:showLegendKey val="0"/>
          <c:showVal val="0"/>
          <c:showCatName val="0"/>
          <c:showSerName val="0"/>
          <c:showPercent val="0"/>
          <c:showBubbleSize val="0"/>
        </c:dLbls>
        <c:gapWidth val="46"/>
        <c:axId val="186819712"/>
        <c:axId val="186821248"/>
      </c:barChart>
      <c:catAx>
        <c:axId val="186819712"/>
        <c:scaling>
          <c:orientation val="minMax"/>
        </c:scaling>
        <c:delete val="0"/>
        <c:axPos val="b"/>
        <c:numFmt formatCode="General" sourceLinked="1"/>
        <c:majorTickMark val="out"/>
        <c:minorTickMark val="none"/>
        <c:tickLblPos val="nextTo"/>
        <c:txPr>
          <a:bodyPr rot="-5400000" vert="horz"/>
          <a:lstStyle/>
          <a:p>
            <a:pPr>
              <a:defRPr/>
            </a:pPr>
            <a:endParaRPr lang="es-ES"/>
          </a:p>
        </c:txPr>
        <c:crossAx val="186821248"/>
        <c:crosses val="autoZero"/>
        <c:auto val="1"/>
        <c:lblAlgn val="ctr"/>
        <c:lblOffset val="100"/>
        <c:noMultiLvlLbl val="0"/>
      </c:catAx>
      <c:valAx>
        <c:axId val="186821248"/>
        <c:scaling>
          <c:orientation val="minMax"/>
        </c:scaling>
        <c:delete val="0"/>
        <c:axPos val="l"/>
        <c:majorGridlines/>
        <c:numFmt formatCode="General" sourceLinked="1"/>
        <c:majorTickMark val="out"/>
        <c:minorTickMark val="none"/>
        <c:tickLblPos val="nextTo"/>
        <c:crossAx val="1868197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plotArea>
      <c:layout/>
      <c:barChart>
        <c:barDir val="col"/>
        <c:grouping val="clustered"/>
        <c:varyColors val="0"/>
        <c:ser>
          <c:idx val="0"/>
          <c:order val="0"/>
          <c:tx>
            <c:strRef>
              <c:f>Hoja1!$B$1</c:f>
              <c:strCache>
                <c:ptCount val="1"/>
                <c:pt idx="0">
                  <c:v>Mer. Tot. PVL</c:v>
                </c:pt>
              </c:strCache>
            </c:strRef>
          </c:tx>
          <c:invertIfNegative val="0"/>
          <c:cat>
            <c:numRef>
              <c:f>Hoja1!$A$2:$A$13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Hoja1!$B$2:$B$13</c:f>
              <c:numCache>
                <c:formatCode>#,##0</c:formatCode>
                <c:ptCount val="12"/>
                <c:pt idx="0">
                  <c:v>12200</c:v>
                </c:pt>
                <c:pt idx="1">
                  <c:v>13300</c:v>
                </c:pt>
                <c:pt idx="2">
                  <c:v>14500</c:v>
                </c:pt>
                <c:pt idx="3">
                  <c:v>16300</c:v>
                </c:pt>
                <c:pt idx="4">
                  <c:v>16500</c:v>
                </c:pt>
                <c:pt idx="5">
                  <c:v>17200</c:v>
                </c:pt>
                <c:pt idx="6">
                  <c:v>16000</c:v>
                </c:pt>
                <c:pt idx="7">
                  <c:v>16100</c:v>
                </c:pt>
                <c:pt idx="8">
                  <c:v>16200</c:v>
                </c:pt>
                <c:pt idx="9">
                  <c:v>16500</c:v>
                </c:pt>
                <c:pt idx="10">
                  <c:v>18600</c:v>
                </c:pt>
                <c:pt idx="11">
                  <c:v>18800</c:v>
                </c:pt>
              </c:numCache>
            </c:numRef>
          </c:val>
        </c:ser>
        <c:dLbls>
          <c:showLegendKey val="0"/>
          <c:showVal val="0"/>
          <c:showCatName val="0"/>
          <c:showSerName val="0"/>
          <c:showPercent val="0"/>
          <c:showBubbleSize val="0"/>
        </c:dLbls>
        <c:gapWidth val="50"/>
        <c:axId val="130230912"/>
        <c:axId val="130232704"/>
      </c:barChart>
      <c:catAx>
        <c:axId val="130230912"/>
        <c:scaling>
          <c:orientation val="minMax"/>
        </c:scaling>
        <c:delete val="0"/>
        <c:axPos val="b"/>
        <c:numFmt formatCode="General" sourceLinked="1"/>
        <c:majorTickMark val="out"/>
        <c:minorTickMark val="none"/>
        <c:tickLblPos val="nextTo"/>
        <c:crossAx val="130232704"/>
        <c:crosses val="autoZero"/>
        <c:auto val="1"/>
        <c:lblAlgn val="ctr"/>
        <c:lblOffset val="100"/>
        <c:noMultiLvlLbl val="0"/>
      </c:catAx>
      <c:valAx>
        <c:axId val="130232704"/>
        <c:scaling>
          <c:orientation val="minMax"/>
        </c:scaling>
        <c:delete val="0"/>
        <c:axPos val="l"/>
        <c:majorGridlines/>
        <c:numFmt formatCode="#,##0" sourceLinked="1"/>
        <c:majorTickMark val="out"/>
        <c:minorTickMark val="none"/>
        <c:tickLblPos val="nextTo"/>
        <c:crossAx val="130230912"/>
        <c:crosses val="autoZero"/>
        <c:crossBetween val="between"/>
      </c:valAx>
    </c:plotArea>
    <c:legend>
      <c:legendPos val="b"/>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Mercado de OF y Hospitales a PVL</a:t>
            </a:r>
          </a:p>
        </c:rich>
      </c:tx>
      <c:layout/>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plotArea>
      <c:layout/>
      <c:barChart>
        <c:barDir val="col"/>
        <c:grouping val="clustered"/>
        <c:varyColors val="0"/>
        <c:ser>
          <c:idx val="1"/>
          <c:order val="0"/>
          <c:tx>
            <c:strRef>
              <c:f>Hoja1!$C$1</c:f>
              <c:strCache>
                <c:ptCount val="1"/>
                <c:pt idx="0">
                  <c:v>Hospital</c:v>
                </c:pt>
              </c:strCache>
            </c:strRef>
          </c:tx>
          <c:spPr>
            <a:solidFill>
              <a:srgbClr val="002060"/>
            </a:solidFill>
          </c:spPr>
          <c:invertIfNegative val="0"/>
          <c:cat>
            <c:numRef>
              <c:f>Hoja1!$A$2:$A$13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Hoja1!$C$2:$C$13</c:f>
              <c:numCache>
                <c:formatCode>#,##0</c:formatCode>
                <c:ptCount val="12"/>
                <c:pt idx="0">
                  <c:v>3500</c:v>
                </c:pt>
                <c:pt idx="1">
                  <c:v>3800</c:v>
                </c:pt>
                <c:pt idx="2">
                  <c:v>4000</c:v>
                </c:pt>
                <c:pt idx="3">
                  <c:v>4100</c:v>
                </c:pt>
                <c:pt idx="4">
                  <c:v>4900</c:v>
                </c:pt>
                <c:pt idx="5">
                  <c:v>5000</c:v>
                </c:pt>
                <c:pt idx="6">
                  <c:v>5100</c:v>
                </c:pt>
                <c:pt idx="7">
                  <c:v>5500</c:v>
                </c:pt>
                <c:pt idx="8">
                  <c:v>6300</c:v>
                </c:pt>
                <c:pt idx="9">
                  <c:v>7100</c:v>
                </c:pt>
                <c:pt idx="10">
                  <c:v>8700</c:v>
                </c:pt>
                <c:pt idx="11">
                  <c:v>8800</c:v>
                </c:pt>
              </c:numCache>
            </c:numRef>
          </c:val>
        </c:ser>
        <c:ser>
          <c:idx val="2"/>
          <c:order val="1"/>
          <c:tx>
            <c:strRef>
              <c:f>Hoja1!$D$1</c:f>
              <c:strCache>
                <c:ptCount val="1"/>
                <c:pt idx="0">
                  <c:v>Farmacia</c:v>
                </c:pt>
              </c:strCache>
            </c:strRef>
          </c:tx>
          <c:spPr>
            <a:solidFill>
              <a:schemeClr val="accent1"/>
            </a:solidFill>
          </c:spPr>
          <c:invertIfNegative val="0"/>
          <c:cat>
            <c:numRef>
              <c:f>Hoja1!$A$2:$A$13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Hoja1!$D$2:$D$13</c:f>
              <c:numCache>
                <c:formatCode>#,##0</c:formatCode>
                <c:ptCount val="12"/>
                <c:pt idx="0">
                  <c:v>9000</c:v>
                </c:pt>
                <c:pt idx="1">
                  <c:v>9500</c:v>
                </c:pt>
                <c:pt idx="2">
                  <c:v>10100</c:v>
                </c:pt>
                <c:pt idx="3">
                  <c:v>11000</c:v>
                </c:pt>
                <c:pt idx="4">
                  <c:v>11100</c:v>
                </c:pt>
                <c:pt idx="5">
                  <c:v>9600</c:v>
                </c:pt>
                <c:pt idx="6">
                  <c:v>9000</c:v>
                </c:pt>
                <c:pt idx="7">
                  <c:v>8800</c:v>
                </c:pt>
                <c:pt idx="8">
                  <c:v>8900</c:v>
                </c:pt>
                <c:pt idx="9">
                  <c:v>8850</c:v>
                </c:pt>
                <c:pt idx="10">
                  <c:v>8800</c:v>
                </c:pt>
                <c:pt idx="11">
                  <c:v>9000</c:v>
                </c:pt>
              </c:numCache>
            </c:numRef>
          </c:val>
        </c:ser>
        <c:dLbls>
          <c:showLegendKey val="0"/>
          <c:showVal val="0"/>
          <c:showCatName val="0"/>
          <c:showSerName val="0"/>
          <c:showPercent val="0"/>
          <c:showBubbleSize val="0"/>
        </c:dLbls>
        <c:gapWidth val="50"/>
        <c:axId val="126143488"/>
        <c:axId val="126169856"/>
      </c:barChart>
      <c:catAx>
        <c:axId val="126143488"/>
        <c:scaling>
          <c:orientation val="minMax"/>
        </c:scaling>
        <c:delete val="0"/>
        <c:axPos val="b"/>
        <c:numFmt formatCode="General" sourceLinked="1"/>
        <c:majorTickMark val="none"/>
        <c:minorTickMark val="none"/>
        <c:tickLblPos val="nextTo"/>
        <c:crossAx val="126169856"/>
        <c:crosses val="autoZero"/>
        <c:auto val="1"/>
        <c:lblAlgn val="ctr"/>
        <c:lblOffset val="100"/>
        <c:noMultiLvlLbl val="0"/>
      </c:catAx>
      <c:valAx>
        <c:axId val="126169856"/>
        <c:scaling>
          <c:orientation val="minMax"/>
        </c:scaling>
        <c:delete val="0"/>
        <c:axPos val="l"/>
        <c:majorGridlines/>
        <c:numFmt formatCode="#,##0" sourceLinked="1"/>
        <c:majorTickMark val="none"/>
        <c:minorTickMark val="none"/>
        <c:tickLblPos val="nextTo"/>
        <c:crossAx val="126143488"/>
        <c:crosses val="autoZero"/>
        <c:crossBetween val="between"/>
      </c:valAx>
    </c:plotArea>
    <c:legend>
      <c:legendPos val="b"/>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Mercado de OTC en millones de €</a:t>
            </a:r>
          </a:p>
        </c:rich>
      </c:tx>
      <c:layout/>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plotArea>
      <c:layout/>
      <c:barChart>
        <c:barDir val="col"/>
        <c:grouping val="clustered"/>
        <c:varyColors val="0"/>
        <c:ser>
          <c:idx val="0"/>
          <c:order val="0"/>
          <c:tx>
            <c:strRef>
              <c:f>Hoja1!$B$57</c:f>
              <c:strCache>
                <c:ptCount val="1"/>
                <c:pt idx="0">
                  <c:v>Millones de €</c:v>
                </c:pt>
              </c:strCache>
            </c:strRef>
          </c:tx>
          <c:invertIfNegative val="0"/>
          <c:dLbls>
            <c:showLegendKey val="0"/>
            <c:showVal val="1"/>
            <c:showCatName val="0"/>
            <c:showSerName val="0"/>
            <c:showPercent val="0"/>
            <c:showBubbleSize val="0"/>
            <c:showLeaderLines val="0"/>
          </c:dLbls>
          <c:cat>
            <c:numRef>
              <c:f>Hoja1!$A$58:$A$62</c:f>
              <c:numCache>
                <c:formatCode>General</c:formatCode>
                <c:ptCount val="5"/>
                <c:pt idx="0">
                  <c:v>2012</c:v>
                </c:pt>
                <c:pt idx="1">
                  <c:v>2013</c:v>
                </c:pt>
                <c:pt idx="2">
                  <c:v>2014</c:v>
                </c:pt>
                <c:pt idx="3">
                  <c:v>2015</c:v>
                </c:pt>
                <c:pt idx="4">
                  <c:v>2016</c:v>
                </c:pt>
              </c:numCache>
            </c:numRef>
          </c:cat>
          <c:val>
            <c:numRef>
              <c:f>Hoja1!$B$58:$B$62</c:f>
              <c:numCache>
                <c:formatCode>#,##0</c:formatCode>
                <c:ptCount val="5"/>
                <c:pt idx="0">
                  <c:v>1680</c:v>
                </c:pt>
                <c:pt idx="1">
                  <c:v>1766</c:v>
                </c:pt>
                <c:pt idx="2">
                  <c:v>1866</c:v>
                </c:pt>
                <c:pt idx="3">
                  <c:v>2084</c:v>
                </c:pt>
                <c:pt idx="4">
                  <c:v>2225</c:v>
                </c:pt>
              </c:numCache>
            </c:numRef>
          </c:val>
        </c:ser>
        <c:dLbls>
          <c:showLegendKey val="0"/>
          <c:showVal val="0"/>
          <c:showCatName val="0"/>
          <c:showSerName val="0"/>
          <c:showPercent val="0"/>
          <c:showBubbleSize val="0"/>
        </c:dLbls>
        <c:gapWidth val="50"/>
        <c:axId val="216794624"/>
        <c:axId val="217221376"/>
      </c:barChart>
      <c:catAx>
        <c:axId val="216794624"/>
        <c:scaling>
          <c:orientation val="minMax"/>
        </c:scaling>
        <c:delete val="0"/>
        <c:axPos val="b"/>
        <c:numFmt formatCode="General" sourceLinked="1"/>
        <c:majorTickMark val="out"/>
        <c:minorTickMark val="none"/>
        <c:tickLblPos val="nextTo"/>
        <c:crossAx val="217221376"/>
        <c:crosses val="autoZero"/>
        <c:auto val="1"/>
        <c:lblAlgn val="ctr"/>
        <c:lblOffset val="100"/>
        <c:noMultiLvlLbl val="0"/>
      </c:catAx>
      <c:valAx>
        <c:axId val="217221376"/>
        <c:scaling>
          <c:orientation val="minMax"/>
        </c:scaling>
        <c:delete val="0"/>
        <c:axPos val="l"/>
        <c:majorGridlines/>
        <c:numFmt formatCode="#,##0" sourceLinked="1"/>
        <c:majorTickMark val="out"/>
        <c:minorTickMark val="none"/>
        <c:tickLblPos val="nextTo"/>
        <c:crossAx val="216794624"/>
        <c:crosses val="autoZero"/>
        <c:crossBetween val="between"/>
      </c:valAx>
    </c:plotArea>
    <c:legend>
      <c:legendPos val="b"/>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AF23-890B-4E22-88E6-CD68716D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2688</Words>
  <Characters>13771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Granda</dc:creator>
  <cp:lastModifiedBy>Luffi</cp:lastModifiedBy>
  <cp:revision>9</cp:revision>
  <cp:lastPrinted>2016-06-07T22:24:00Z</cp:lastPrinted>
  <dcterms:created xsi:type="dcterms:W3CDTF">2017-08-08T10:27:00Z</dcterms:created>
  <dcterms:modified xsi:type="dcterms:W3CDTF">2017-08-08T23:47:00Z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-2036237999</vt:i4>
  </property>
  <property fmtid="{D5CDD505-2E9C-101B-9397-08002B2CF9AE}" pid="3" name="_EmailSubject">
    <vt:lpwstr>Observatorio </vt:lpwstr>
  </property>
  <property fmtid="{D5CDD505-2E9C-101B-9397-08002B2CF9AE}" pid="4" name="_AuthorEmail">
    <vt:lpwstr>egranda@msc.es</vt:lpwstr>
  </property>
  <property fmtid="{D5CDD505-2E9C-101B-9397-08002B2CF9AE}" pid="5" name="_AuthorEmailDisplayName">
    <vt:lpwstr>Granda Vega, Enrique</vt:lpwstr>
  </property>
  <property fmtid="{D5CDD505-2E9C-101B-9397-08002B2CF9AE}" pid="6" name="_PreviousAdHocReviewCycleID">
    <vt:i4>-1742056444</vt:i4>
  </property>
  <property fmtid="{D5CDD505-2E9C-101B-9397-08002B2CF9AE}" pid="7" name="_ReviewingToolsShownOnce">
    <vt:lpwstr/>
  </property>
</Properties>
</file>