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ED558" w14:textId="77777777" w:rsidR="00C829A4" w:rsidRDefault="00C829A4">
      <w:pPr>
        <w:pStyle w:val="Cuerpo"/>
        <w:rPr>
          <w:rStyle w:val="Ninguno"/>
          <w:rFonts w:ascii="Arial Black" w:eastAsia="Arial Black" w:hAnsi="Arial Black" w:cs="Arial Black"/>
          <w:color w:val="008080"/>
          <w:sz w:val="28"/>
          <w:szCs w:val="28"/>
          <w:u w:color="008080"/>
        </w:rPr>
      </w:pPr>
      <w:bookmarkStart w:id="0" w:name="_GoBack"/>
      <w:bookmarkEnd w:id="0"/>
    </w:p>
    <w:p w14:paraId="20EB56BB" w14:textId="77777777" w:rsidR="00C829A4" w:rsidRDefault="00C829A4">
      <w:pPr>
        <w:pStyle w:val="Cuerpo"/>
        <w:rPr>
          <w:rStyle w:val="Ninguno"/>
          <w:rFonts w:ascii="Arial Black" w:eastAsia="Arial Black" w:hAnsi="Arial Black" w:cs="Arial Black"/>
          <w:color w:val="008080"/>
          <w:sz w:val="28"/>
          <w:szCs w:val="28"/>
          <w:u w:color="008080"/>
        </w:rPr>
      </w:pPr>
    </w:p>
    <w:p w14:paraId="7F6AFB87" w14:textId="77777777" w:rsidR="00C829A4" w:rsidRDefault="00C829A4">
      <w:pPr>
        <w:pStyle w:val="Cuerpo"/>
        <w:rPr>
          <w:rStyle w:val="Ninguno"/>
          <w:rFonts w:ascii="Arial Black" w:eastAsia="Arial Black" w:hAnsi="Arial Black" w:cs="Arial Black"/>
          <w:color w:val="008080"/>
          <w:sz w:val="28"/>
          <w:szCs w:val="28"/>
          <w:u w:color="008080"/>
        </w:rPr>
      </w:pPr>
    </w:p>
    <w:p w14:paraId="464061B4" w14:textId="77777777" w:rsidR="00C829A4" w:rsidRDefault="00C829A4">
      <w:pPr>
        <w:pStyle w:val="Cuerpo"/>
        <w:rPr>
          <w:rStyle w:val="Ninguno"/>
          <w:rFonts w:ascii="Arial Black" w:eastAsia="Arial Black" w:hAnsi="Arial Black" w:cs="Arial Black"/>
          <w:color w:val="008080"/>
          <w:sz w:val="28"/>
          <w:szCs w:val="28"/>
          <w:u w:color="008080"/>
        </w:rPr>
      </w:pPr>
    </w:p>
    <w:p w14:paraId="2EF11361" w14:textId="77777777" w:rsidR="00C829A4" w:rsidRDefault="00C829A4">
      <w:pPr>
        <w:pStyle w:val="Cuerpo"/>
        <w:rPr>
          <w:rStyle w:val="Ninguno"/>
          <w:rFonts w:ascii="Arial Black" w:eastAsia="Arial Black" w:hAnsi="Arial Black" w:cs="Arial Black"/>
          <w:color w:val="008080"/>
          <w:sz w:val="28"/>
          <w:szCs w:val="28"/>
          <w:u w:color="008080"/>
        </w:rPr>
      </w:pPr>
    </w:p>
    <w:p w14:paraId="718133AC" w14:textId="77777777" w:rsidR="00C829A4" w:rsidRDefault="00C829A4">
      <w:pPr>
        <w:pStyle w:val="Cuerpo"/>
      </w:pPr>
    </w:p>
    <w:p w14:paraId="04A8399C" w14:textId="77777777" w:rsidR="00C829A4" w:rsidRDefault="00C829A4">
      <w:pPr>
        <w:pStyle w:val="Cuerpo"/>
      </w:pPr>
    </w:p>
    <w:p w14:paraId="44B6CD58" w14:textId="77777777" w:rsidR="00C829A4" w:rsidRDefault="00C829A4">
      <w:pPr>
        <w:pStyle w:val="Cuerpo"/>
      </w:pPr>
    </w:p>
    <w:p w14:paraId="33F0813C" w14:textId="77777777" w:rsidR="00C829A4" w:rsidRDefault="00C829A4">
      <w:pPr>
        <w:pStyle w:val="Cuerpo"/>
      </w:pPr>
    </w:p>
    <w:p w14:paraId="2C9AB397" w14:textId="77777777" w:rsidR="00C829A4" w:rsidRDefault="00C829A4">
      <w:pPr>
        <w:pStyle w:val="Cuerpo"/>
      </w:pPr>
    </w:p>
    <w:p w14:paraId="45E864B2" w14:textId="77777777" w:rsidR="00C829A4" w:rsidRDefault="00C829A4">
      <w:pPr>
        <w:pStyle w:val="Cuerpo"/>
      </w:pPr>
    </w:p>
    <w:p w14:paraId="7F6BED62" w14:textId="77777777" w:rsidR="00C829A4" w:rsidRDefault="00C829A4">
      <w:pPr>
        <w:pStyle w:val="Cuerpo"/>
      </w:pPr>
    </w:p>
    <w:p w14:paraId="6A7EB7F1" w14:textId="77777777" w:rsidR="00C829A4" w:rsidRDefault="00C829A4">
      <w:pPr>
        <w:pStyle w:val="Cuerpo"/>
        <w:rPr>
          <w:rStyle w:val="Ninguno"/>
          <w:rFonts w:ascii="Arial Black" w:eastAsia="Arial Black" w:hAnsi="Arial Black" w:cs="Arial Black"/>
          <w:color w:val="008080"/>
          <w:sz w:val="28"/>
          <w:szCs w:val="28"/>
          <w:u w:color="008080"/>
        </w:rPr>
      </w:pPr>
    </w:p>
    <w:p w14:paraId="1A6395C2" w14:textId="77777777" w:rsidR="00C829A4" w:rsidRDefault="00A773ED">
      <w:pPr>
        <w:pStyle w:val="Cuerpo"/>
        <w:rPr>
          <w:rStyle w:val="Ninguno"/>
          <w:rFonts w:ascii="Arial Black" w:eastAsia="Arial Black" w:hAnsi="Arial Black" w:cs="Arial Black"/>
          <w:color w:val="008080"/>
          <w:sz w:val="28"/>
          <w:szCs w:val="28"/>
          <w:u w:color="008080"/>
        </w:rPr>
      </w:pPr>
      <w:r>
        <w:rPr>
          <w:noProof/>
          <w:lang w:val="es-ES_tradnl" w:eastAsia="es-ES_tradnl"/>
        </w:rPr>
        <w:drawing>
          <wp:anchor distT="57150" distB="57150" distL="57150" distR="57150" simplePos="0" relativeHeight="251659264" behindDoc="0" locked="0" layoutInCell="1" allowOverlap="1" wp14:anchorId="0975CFCF" wp14:editId="07B1F545">
            <wp:simplePos x="0" y="0"/>
            <wp:positionH relativeFrom="column">
              <wp:posOffset>1828800</wp:posOffset>
            </wp:positionH>
            <wp:positionV relativeFrom="line">
              <wp:posOffset>165734</wp:posOffset>
            </wp:positionV>
            <wp:extent cx="1699261" cy="1546861"/>
            <wp:effectExtent l="0" t="0" r="0" b="0"/>
            <wp:wrapSquare wrapText="bothSides" distT="57150" distB="57150" distL="57150" distR="57150"/>
            <wp:docPr id="1073741826" name="officeArt object" descr="Logo FEFE"/>
            <wp:cNvGraphicFramePr/>
            <a:graphic xmlns:a="http://schemas.openxmlformats.org/drawingml/2006/main">
              <a:graphicData uri="http://schemas.openxmlformats.org/drawingml/2006/picture">
                <pic:pic xmlns:pic="http://schemas.openxmlformats.org/drawingml/2006/picture">
                  <pic:nvPicPr>
                    <pic:cNvPr id="1073741826" name="Logo FEFE" descr="Logo FEFE"/>
                    <pic:cNvPicPr>
                      <a:picLocks noChangeAspect="1"/>
                    </pic:cNvPicPr>
                  </pic:nvPicPr>
                  <pic:blipFill>
                    <a:blip r:embed="rId8" cstate="print">
                      <a:extLst/>
                    </a:blip>
                    <a:stretch>
                      <a:fillRect/>
                    </a:stretch>
                  </pic:blipFill>
                  <pic:spPr>
                    <a:xfrm>
                      <a:off x="0" y="0"/>
                      <a:ext cx="1699261" cy="1546861"/>
                    </a:xfrm>
                    <a:prstGeom prst="rect">
                      <a:avLst/>
                    </a:prstGeom>
                    <a:ln w="12700" cap="flat">
                      <a:noFill/>
                      <a:miter lim="400000"/>
                    </a:ln>
                    <a:effectLst/>
                  </pic:spPr>
                </pic:pic>
              </a:graphicData>
            </a:graphic>
          </wp:anchor>
        </w:drawing>
      </w:r>
    </w:p>
    <w:p w14:paraId="7974FAF4" w14:textId="77777777" w:rsidR="00C829A4" w:rsidRDefault="00C829A4">
      <w:pPr>
        <w:pStyle w:val="Cuerpo"/>
        <w:rPr>
          <w:rStyle w:val="Ninguno"/>
          <w:rFonts w:ascii="Arial Black" w:eastAsia="Arial Black" w:hAnsi="Arial Black" w:cs="Arial Black"/>
          <w:color w:val="008080"/>
          <w:sz w:val="28"/>
          <w:szCs w:val="28"/>
          <w:u w:color="008080"/>
        </w:rPr>
      </w:pPr>
    </w:p>
    <w:p w14:paraId="17CC6DC9" w14:textId="77777777" w:rsidR="00C829A4" w:rsidRDefault="00C829A4">
      <w:pPr>
        <w:pStyle w:val="Cuerpo"/>
        <w:rPr>
          <w:rStyle w:val="Ninguno"/>
          <w:rFonts w:ascii="Arial Black" w:eastAsia="Arial Black" w:hAnsi="Arial Black" w:cs="Arial Black"/>
          <w:color w:val="008080"/>
          <w:sz w:val="28"/>
          <w:szCs w:val="28"/>
          <w:u w:color="008080"/>
        </w:rPr>
      </w:pPr>
    </w:p>
    <w:p w14:paraId="189C7756" w14:textId="77777777" w:rsidR="00C829A4" w:rsidRDefault="00C829A4">
      <w:pPr>
        <w:pStyle w:val="Cuerpo"/>
        <w:rPr>
          <w:rStyle w:val="Ninguno"/>
          <w:rFonts w:ascii="Arial Black" w:eastAsia="Arial Black" w:hAnsi="Arial Black" w:cs="Arial Black"/>
          <w:color w:val="008080"/>
          <w:sz w:val="28"/>
          <w:szCs w:val="28"/>
          <w:u w:color="008080"/>
        </w:rPr>
      </w:pPr>
    </w:p>
    <w:p w14:paraId="459AE460" w14:textId="77777777" w:rsidR="00C829A4" w:rsidRDefault="00C829A4">
      <w:pPr>
        <w:pStyle w:val="Cuerpo"/>
        <w:rPr>
          <w:rStyle w:val="Ninguno"/>
          <w:rFonts w:ascii="Arial Black" w:eastAsia="Arial Black" w:hAnsi="Arial Black" w:cs="Arial Black"/>
          <w:color w:val="008080"/>
          <w:sz w:val="28"/>
          <w:szCs w:val="28"/>
          <w:u w:color="008080"/>
        </w:rPr>
      </w:pPr>
    </w:p>
    <w:p w14:paraId="62381150" w14:textId="77777777" w:rsidR="00C829A4" w:rsidRDefault="00C829A4">
      <w:pPr>
        <w:pStyle w:val="Cuerpo"/>
        <w:rPr>
          <w:rStyle w:val="Ninguno"/>
          <w:rFonts w:ascii="Arial Black" w:eastAsia="Arial Black" w:hAnsi="Arial Black" w:cs="Arial Black"/>
          <w:color w:val="008080"/>
          <w:sz w:val="28"/>
          <w:szCs w:val="28"/>
          <w:u w:color="008080"/>
        </w:rPr>
      </w:pPr>
    </w:p>
    <w:p w14:paraId="1BFD0D1F" w14:textId="77777777" w:rsidR="00C829A4" w:rsidRDefault="00C829A4">
      <w:pPr>
        <w:pStyle w:val="Cuerpo"/>
        <w:rPr>
          <w:rStyle w:val="Ninguno"/>
          <w:rFonts w:ascii="Arial Black" w:eastAsia="Arial Black" w:hAnsi="Arial Black" w:cs="Arial Black"/>
          <w:color w:val="008080"/>
          <w:sz w:val="28"/>
          <w:szCs w:val="28"/>
          <w:u w:color="008080"/>
        </w:rPr>
      </w:pPr>
    </w:p>
    <w:p w14:paraId="55ED16AF"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038C08CD" w14:textId="77777777"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 xml:space="preserve">OBSERVATORIO </w:t>
      </w:r>
    </w:p>
    <w:p w14:paraId="2E3A500E" w14:textId="77777777"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DEL</w:t>
      </w:r>
    </w:p>
    <w:p w14:paraId="0E1DE9AD" w14:textId="77777777"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rPr>
        <w:t>MEDICAMENTO</w:t>
      </w:r>
    </w:p>
    <w:p w14:paraId="2C9A5B5B"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38AF6CCE"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3CEDDDE6"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0C6689D7"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54C2A2F1"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49F1ED56"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612AEAC2" w14:textId="77777777" w:rsidR="00C829A4" w:rsidRDefault="00C829A4">
      <w:pPr>
        <w:pStyle w:val="Cuerpo"/>
        <w:jc w:val="right"/>
        <w:rPr>
          <w:rStyle w:val="Ninguno"/>
          <w:rFonts w:ascii="Arial Black" w:eastAsia="Arial Black" w:hAnsi="Arial Black" w:cs="Arial Black"/>
          <w:color w:val="008080"/>
          <w:u w:color="008080"/>
        </w:rPr>
      </w:pPr>
    </w:p>
    <w:p w14:paraId="467D119B" w14:textId="77777777" w:rsidR="00C829A4" w:rsidRDefault="00C829A4">
      <w:pPr>
        <w:pStyle w:val="Cuerpo"/>
        <w:jc w:val="right"/>
        <w:rPr>
          <w:rStyle w:val="Ninguno"/>
          <w:rFonts w:ascii="Arial Black" w:eastAsia="Arial Black" w:hAnsi="Arial Black" w:cs="Arial Black"/>
          <w:color w:val="008080"/>
          <w:u w:color="008080"/>
        </w:rPr>
      </w:pPr>
    </w:p>
    <w:p w14:paraId="47194E2F" w14:textId="77777777" w:rsidR="00C829A4" w:rsidRDefault="00C829A4">
      <w:pPr>
        <w:pStyle w:val="Cuerpo"/>
        <w:jc w:val="right"/>
        <w:rPr>
          <w:rStyle w:val="Ninguno"/>
          <w:rFonts w:ascii="Arial Black" w:eastAsia="Arial Black" w:hAnsi="Arial Black" w:cs="Arial Black"/>
          <w:color w:val="008080"/>
          <w:u w:color="008080"/>
        </w:rPr>
      </w:pPr>
    </w:p>
    <w:p w14:paraId="30D949FA" w14:textId="77777777" w:rsidR="00C829A4" w:rsidRDefault="009176BE">
      <w:pPr>
        <w:pStyle w:val="Cuerpo"/>
        <w:jc w:val="right"/>
        <w:rPr>
          <w:rStyle w:val="Ninguno"/>
          <w:rFonts w:ascii="Arial Black" w:eastAsia="Arial Black" w:hAnsi="Arial Black" w:cs="Arial Black"/>
          <w:color w:val="008080"/>
          <w:u w:color="008080"/>
        </w:rPr>
      </w:pPr>
      <w:proofErr w:type="spellStart"/>
      <w:r>
        <w:rPr>
          <w:rStyle w:val="Ninguno"/>
          <w:rFonts w:ascii="Arial Black" w:hAnsi="Arial Black"/>
          <w:color w:val="008080"/>
          <w:u w:color="008080"/>
          <w:lang w:val="pt-PT"/>
        </w:rPr>
        <w:t>Octubre</w:t>
      </w:r>
      <w:proofErr w:type="spellEnd"/>
      <w:r w:rsidR="00A773ED">
        <w:rPr>
          <w:rStyle w:val="Ninguno"/>
          <w:rFonts w:ascii="Arial Black" w:hAnsi="Arial Black"/>
          <w:color w:val="008080"/>
          <w:u w:color="008080"/>
          <w:lang w:val="pt-PT"/>
        </w:rPr>
        <w:t xml:space="preserve"> 2017</w:t>
      </w:r>
    </w:p>
    <w:p w14:paraId="1AF7BAB0" w14:textId="77777777" w:rsidR="00C829A4" w:rsidRDefault="00C829A4">
      <w:pPr>
        <w:pStyle w:val="Cuerpo"/>
        <w:rPr>
          <w:rStyle w:val="Ninguno"/>
          <w:rFonts w:ascii="Arial Black" w:eastAsia="Arial Black" w:hAnsi="Arial Black" w:cs="Arial Black"/>
          <w:color w:val="008080"/>
          <w:sz w:val="28"/>
          <w:szCs w:val="28"/>
          <w:u w:color="008080"/>
        </w:rPr>
      </w:pPr>
    </w:p>
    <w:p w14:paraId="2CC1B4A0" w14:textId="77777777" w:rsidR="00C829A4" w:rsidRDefault="00C829A4">
      <w:pPr>
        <w:pStyle w:val="Cuerpo"/>
        <w:rPr>
          <w:rStyle w:val="Ninguno"/>
          <w:rFonts w:ascii="Arial Black" w:eastAsia="Arial Black" w:hAnsi="Arial Black" w:cs="Arial Black"/>
          <w:color w:val="008080"/>
          <w:sz w:val="28"/>
          <w:szCs w:val="28"/>
          <w:u w:color="008080"/>
        </w:rPr>
      </w:pPr>
    </w:p>
    <w:p w14:paraId="1E3B2AEE" w14:textId="77777777" w:rsidR="00C829A4" w:rsidRDefault="00A773ED">
      <w:pPr>
        <w:pStyle w:val="Cuerpo"/>
        <w:rPr>
          <w:rStyle w:val="Ninguno"/>
          <w:rFonts w:ascii="Arial Black" w:eastAsia="Arial Black" w:hAnsi="Arial Black" w:cs="Arial Black"/>
          <w:color w:val="008080"/>
          <w:sz w:val="28"/>
          <w:szCs w:val="28"/>
          <w:u w:color="008080"/>
        </w:rPr>
      </w:pPr>
      <w:proofErr w:type="spellStart"/>
      <w:r>
        <w:rPr>
          <w:rStyle w:val="Ninguno"/>
          <w:rFonts w:ascii="Arial Black" w:hAnsi="Arial Black"/>
          <w:color w:val="008080"/>
          <w:sz w:val="28"/>
          <w:szCs w:val="28"/>
          <w:u w:color="008080"/>
          <w:lang w:val="it-IT"/>
        </w:rPr>
        <w:lastRenderedPageBreak/>
        <w:t>Observatorio</w:t>
      </w:r>
      <w:proofErr w:type="spellEnd"/>
      <w:r>
        <w:rPr>
          <w:rStyle w:val="Ninguno"/>
          <w:rFonts w:ascii="Arial Black" w:hAnsi="Arial Black"/>
          <w:color w:val="008080"/>
          <w:sz w:val="28"/>
          <w:szCs w:val="28"/>
          <w:u w:color="008080"/>
          <w:lang w:val="it-IT"/>
        </w:rPr>
        <w:t xml:space="preserve"> del Medicamento</w:t>
      </w:r>
    </w:p>
    <w:p w14:paraId="5EEAA6E7" w14:textId="77777777" w:rsidR="00C829A4" w:rsidRDefault="00C829A4">
      <w:pPr>
        <w:pStyle w:val="Cuerpo"/>
        <w:jc w:val="both"/>
        <w:rPr>
          <w:sz w:val="22"/>
          <w:szCs w:val="22"/>
        </w:rPr>
      </w:pPr>
    </w:p>
    <w:p w14:paraId="6B11DFD4" w14:textId="77777777" w:rsidR="00C829A4" w:rsidRPr="001E51E2" w:rsidRDefault="00A773ED">
      <w:pPr>
        <w:pStyle w:val="Cuerpo"/>
        <w:jc w:val="both"/>
        <w:rPr>
          <w:rStyle w:val="Ninguno"/>
          <w:b/>
          <w:bCs/>
        </w:rPr>
      </w:pPr>
      <w:r>
        <w:rPr>
          <w:lang w:val="es-ES_tradnl"/>
        </w:rPr>
        <w:t xml:space="preserve">Los datos de consumo de medicamentos facilitados por el Ministerio de Sanidad, </w:t>
      </w:r>
      <w:r w:rsidR="001E51E2">
        <w:rPr>
          <w:lang w:val="es-ES_tradnl"/>
        </w:rPr>
        <w:t>s</w:t>
      </w:r>
      <w:r>
        <w:rPr>
          <w:lang w:val="es-ES_tradnl"/>
        </w:rPr>
        <w:t>ervicios Sociales e Igualdad, que se dieron a conocer el d</w:t>
      </w:r>
      <w:r>
        <w:t>í</w:t>
      </w:r>
      <w:r>
        <w:rPr>
          <w:lang w:val="es-ES_tradnl"/>
        </w:rPr>
        <w:t>a 2</w:t>
      </w:r>
      <w:r w:rsidR="00E62931">
        <w:rPr>
          <w:lang w:val="es-ES_tradnl"/>
        </w:rPr>
        <w:t>4</w:t>
      </w:r>
      <w:r>
        <w:rPr>
          <w:lang w:val="es-ES_tradnl"/>
        </w:rPr>
        <w:t xml:space="preserve"> de </w:t>
      </w:r>
      <w:r w:rsidR="00E62931">
        <w:rPr>
          <w:lang w:val="es-ES_tradnl"/>
        </w:rPr>
        <w:t>noviembre</w:t>
      </w:r>
      <w:r>
        <w:rPr>
          <w:lang w:val="es-ES_tradnl"/>
        </w:rPr>
        <w:t xml:space="preserve"> de 2017, indican que en el mes de </w:t>
      </w:r>
      <w:r w:rsidR="00E62931">
        <w:rPr>
          <w:lang w:val="es-ES_tradnl"/>
        </w:rPr>
        <w:t>octubre</w:t>
      </w:r>
      <w:r>
        <w:rPr>
          <w:lang w:val="es-ES_tradnl"/>
        </w:rPr>
        <w:t xml:space="preserve"> se ha producido un aumento del </w:t>
      </w:r>
      <w:proofErr w:type="gramStart"/>
      <w:r>
        <w:rPr>
          <w:lang w:val="es-ES_tradnl"/>
        </w:rPr>
        <w:t xml:space="preserve">gasto, </w:t>
      </w:r>
      <w:r w:rsidR="00532D1D">
        <w:rPr>
          <w:lang w:val="es-ES_tradnl"/>
        </w:rPr>
        <w:t xml:space="preserve"> un</w:t>
      </w:r>
      <w:proofErr w:type="gramEnd"/>
      <w:r w:rsidR="00532D1D">
        <w:rPr>
          <w:lang w:val="es-ES_tradnl"/>
        </w:rPr>
        <w:t xml:space="preserve"> aumento</w:t>
      </w:r>
      <w:r w:rsidR="001E51E2">
        <w:rPr>
          <w:lang w:val="es-ES_tradnl"/>
        </w:rPr>
        <w:t xml:space="preserve"> </w:t>
      </w:r>
      <w:r>
        <w:rPr>
          <w:lang w:val="es-ES_tradnl"/>
        </w:rPr>
        <w:t xml:space="preserve"> en el n</w:t>
      </w:r>
      <w:r>
        <w:t>ú</w:t>
      </w:r>
      <w:r>
        <w:rPr>
          <w:lang w:val="pt-PT"/>
        </w:rPr>
        <w:t>mero de recetas consumidas, as</w:t>
      </w:r>
      <w:r>
        <w:t xml:space="preserve">í </w:t>
      </w:r>
      <w:r>
        <w:rPr>
          <w:lang w:val="es-ES_tradnl"/>
        </w:rPr>
        <w:t xml:space="preserve">como un </w:t>
      </w:r>
      <w:r w:rsidR="00E62931">
        <w:rPr>
          <w:lang w:val="es-ES_tradnl"/>
        </w:rPr>
        <w:t xml:space="preserve">significativo aumento en el gasto </w:t>
      </w:r>
      <w:r>
        <w:rPr>
          <w:lang w:val="es-ES_tradnl"/>
        </w:rPr>
        <w:t>medio de las recetas.</w:t>
      </w:r>
      <w:r w:rsidR="001E51E2">
        <w:rPr>
          <w:lang w:val="es-ES_tradnl"/>
        </w:rPr>
        <w:t xml:space="preserve"> </w:t>
      </w:r>
      <w:r w:rsidR="001E51E2" w:rsidRPr="001E51E2">
        <w:rPr>
          <w:b/>
          <w:lang w:val="es-ES_tradnl"/>
        </w:rPr>
        <w:t>Aunque aumenta el mercado total, particularmente por el consumo hospitalario y el mercado no financiado, se observa un estancamiento en el canal de oficinas de farmacia que contrasta con el crecimiento general de la economía</w:t>
      </w:r>
      <w:r w:rsidRPr="001E51E2">
        <w:rPr>
          <w:rStyle w:val="Ninguno"/>
          <w:b/>
          <w:bCs/>
          <w:lang w:val="it-IT"/>
        </w:rPr>
        <w:t>.</w:t>
      </w:r>
    </w:p>
    <w:p w14:paraId="27C4C825" w14:textId="77777777" w:rsidR="00C829A4" w:rsidRDefault="00C829A4">
      <w:pPr>
        <w:pStyle w:val="Cuerpo"/>
        <w:jc w:val="both"/>
      </w:pPr>
    </w:p>
    <w:p w14:paraId="433EFE4B" w14:textId="77777777" w:rsidR="00C829A4" w:rsidRPr="008C235E" w:rsidRDefault="00A773ED">
      <w:pPr>
        <w:pStyle w:val="Cuerpo"/>
        <w:jc w:val="both"/>
        <w:rPr>
          <w:sz w:val="22"/>
        </w:rPr>
      </w:pPr>
      <w:r w:rsidRPr="008C235E">
        <w:rPr>
          <w:sz w:val="22"/>
          <w:lang w:val="es-ES_tradnl"/>
        </w:rPr>
        <w:t xml:space="preserve">En este mes </w:t>
      </w:r>
      <w:proofErr w:type="spellStart"/>
      <w:r w:rsidRPr="008C235E">
        <w:rPr>
          <w:sz w:val="22"/>
          <w:lang w:val="es-ES_tradnl"/>
        </w:rPr>
        <w:t>contin</w:t>
      </w:r>
      <w:proofErr w:type="spellEnd"/>
      <w:r w:rsidRPr="008C235E">
        <w:rPr>
          <w:sz w:val="22"/>
        </w:rPr>
        <w:t>ú</w:t>
      </w:r>
      <w:r w:rsidRPr="008C235E">
        <w:rPr>
          <w:sz w:val="22"/>
          <w:lang w:val="es-ES_tradnl"/>
        </w:rPr>
        <w:t xml:space="preserve">a </w:t>
      </w:r>
      <w:proofErr w:type="spellStart"/>
      <w:r w:rsidRPr="008C235E">
        <w:rPr>
          <w:sz w:val="22"/>
          <w:lang w:val="es-ES_tradnl"/>
        </w:rPr>
        <w:t>produci</w:t>
      </w:r>
      <w:proofErr w:type="spellEnd"/>
      <w:r w:rsidRPr="008C235E">
        <w:rPr>
          <w:sz w:val="22"/>
          <w:lang w:val="fr-FR"/>
        </w:rPr>
        <w:t>é</w:t>
      </w:r>
      <w:proofErr w:type="spellStart"/>
      <w:r w:rsidRPr="008C235E">
        <w:rPr>
          <w:sz w:val="22"/>
          <w:lang w:val="es-ES_tradnl"/>
        </w:rPr>
        <w:t>ndose</w:t>
      </w:r>
      <w:proofErr w:type="spellEnd"/>
      <w:r w:rsidRPr="008C235E">
        <w:rPr>
          <w:sz w:val="22"/>
          <w:lang w:val="es-ES_tradnl"/>
        </w:rPr>
        <w:t xml:space="preserve"> un aumento del gasto </w:t>
      </w:r>
      <w:r w:rsidR="001E51E2" w:rsidRPr="008C235E">
        <w:rPr>
          <w:sz w:val="22"/>
          <w:lang w:val="es-ES_tradnl"/>
        </w:rPr>
        <w:t>a través de recetas</w:t>
      </w:r>
      <w:r w:rsidRPr="008C235E">
        <w:rPr>
          <w:sz w:val="22"/>
          <w:lang w:val="es-ES_tradnl"/>
        </w:rPr>
        <w:t xml:space="preserve"> en el acumulado interanual, ya que pasa de 9.8</w:t>
      </w:r>
      <w:r w:rsidR="001E51E2" w:rsidRPr="008C235E">
        <w:rPr>
          <w:sz w:val="22"/>
          <w:lang w:val="es-ES_tradnl"/>
        </w:rPr>
        <w:t>5</w:t>
      </w:r>
      <w:r w:rsidR="009B6575" w:rsidRPr="008C235E">
        <w:rPr>
          <w:sz w:val="22"/>
          <w:lang w:val="es-ES_tradnl"/>
        </w:rPr>
        <w:t>1</w:t>
      </w:r>
      <w:r w:rsidR="001E51E2" w:rsidRPr="008C235E">
        <w:rPr>
          <w:sz w:val="22"/>
          <w:lang w:val="es-ES_tradnl"/>
        </w:rPr>
        <w:t>,</w:t>
      </w:r>
      <w:r w:rsidR="009B6575" w:rsidRPr="008C235E">
        <w:rPr>
          <w:sz w:val="22"/>
          <w:lang w:val="es-ES_tradnl"/>
        </w:rPr>
        <w:t>2</w:t>
      </w:r>
      <w:r w:rsidRPr="008C235E">
        <w:rPr>
          <w:sz w:val="22"/>
          <w:lang w:val="es-ES_tradnl"/>
        </w:rPr>
        <w:t xml:space="preserve"> millones en el año 2016 a 10.</w:t>
      </w:r>
      <w:r w:rsidR="00532D1D">
        <w:rPr>
          <w:sz w:val="22"/>
          <w:lang w:val="es-ES_tradnl"/>
        </w:rPr>
        <w:t>135,9</w:t>
      </w:r>
      <w:r w:rsidRPr="008C235E">
        <w:rPr>
          <w:sz w:val="22"/>
          <w:lang w:val="es-ES_tradnl"/>
        </w:rPr>
        <w:t xml:space="preserve"> millones en el mes de </w:t>
      </w:r>
      <w:r w:rsidR="00E62931" w:rsidRPr="008C235E">
        <w:rPr>
          <w:sz w:val="22"/>
          <w:lang w:val="es-ES_tradnl"/>
        </w:rPr>
        <w:t>octubre</w:t>
      </w:r>
      <w:r w:rsidRPr="008C235E">
        <w:rPr>
          <w:sz w:val="22"/>
          <w:lang w:val="es-ES_tradnl"/>
        </w:rPr>
        <w:t xml:space="preserve"> del año 2017, lo que confirma la idea de que hasta este momento se </w:t>
      </w:r>
      <w:proofErr w:type="spellStart"/>
      <w:r w:rsidRPr="008C235E">
        <w:rPr>
          <w:sz w:val="22"/>
          <w:lang w:val="es-ES_tradnl"/>
        </w:rPr>
        <w:t>est</w:t>
      </w:r>
      <w:proofErr w:type="spellEnd"/>
      <w:r w:rsidRPr="008C235E">
        <w:rPr>
          <w:sz w:val="22"/>
        </w:rPr>
        <w:t xml:space="preserve">á </w:t>
      </w:r>
      <w:r w:rsidRPr="008C235E">
        <w:rPr>
          <w:sz w:val="22"/>
          <w:lang w:val="es-ES_tradnl"/>
        </w:rPr>
        <w:t xml:space="preserve">produciendo una recuperación del mercado financiado, </w:t>
      </w:r>
      <w:r w:rsidR="001E51E2" w:rsidRPr="008C235E">
        <w:rPr>
          <w:sz w:val="22"/>
          <w:lang w:val="es-ES_tradnl"/>
        </w:rPr>
        <w:t xml:space="preserve">aunque </w:t>
      </w:r>
      <w:r w:rsidRPr="008C235E">
        <w:rPr>
          <w:sz w:val="22"/>
          <w:lang w:val="es-ES_tradnl"/>
        </w:rPr>
        <w:t xml:space="preserve">de forma </w:t>
      </w:r>
      <w:r w:rsidR="001E51E2" w:rsidRPr="008C235E">
        <w:rPr>
          <w:sz w:val="22"/>
          <w:lang w:val="es-ES_tradnl"/>
        </w:rPr>
        <w:t xml:space="preserve">mucho más </w:t>
      </w:r>
      <w:r w:rsidRPr="008C235E">
        <w:rPr>
          <w:sz w:val="22"/>
          <w:lang w:val="es-ES_tradnl"/>
        </w:rPr>
        <w:t xml:space="preserve">leve </w:t>
      </w:r>
      <w:r w:rsidR="001E51E2" w:rsidRPr="008C235E">
        <w:rPr>
          <w:sz w:val="22"/>
          <w:lang w:val="es-ES_tradnl"/>
        </w:rPr>
        <w:t xml:space="preserve">que a principios de año y </w:t>
      </w:r>
      <w:proofErr w:type="gramStart"/>
      <w:r w:rsidR="001E51E2" w:rsidRPr="008C235E">
        <w:rPr>
          <w:sz w:val="22"/>
          <w:lang w:val="es-ES_tradnl"/>
        </w:rPr>
        <w:t xml:space="preserve">continúa </w:t>
      </w:r>
      <w:r w:rsidRPr="008C235E">
        <w:rPr>
          <w:sz w:val="22"/>
          <w:lang w:val="es-ES_tradnl"/>
        </w:rPr>
        <w:t xml:space="preserve"> </w:t>
      </w:r>
      <w:r w:rsidR="001E51E2" w:rsidRPr="008C235E">
        <w:rPr>
          <w:sz w:val="22"/>
          <w:lang w:val="es-ES_tradnl"/>
        </w:rPr>
        <w:t>muy</w:t>
      </w:r>
      <w:proofErr w:type="gramEnd"/>
      <w:r w:rsidR="001E51E2" w:rsidRPr="008C235E">
        <w:rPr>
          <w:sz w:val="22"/>
          <w:lang w:val="es-ES_tradnl"/>
        </w:rPr>
        <w:t xml:space="preserve"> por debajo del año </w:t>
      </w:r>
      <w:r w:rsidRPr="008C235E">
        <w:rPr>
          <w:sz w:val="22"/>
          <w:lang w:val="es-ES_tradnl"/>
        </w:rPr>
        <w:t>201</w:t>
      </w:r>
      <w:r w:rsidR="00EB4C77" w:rsidRPr="008C235E">
        <w:rPr>
          <w:sz w:val="22"/>
          <w:lang w:val="es-ES_tradnl"/>
        </w:rPr>
        <w:t>1</w:t>
      </w:r>
      <w:r w:rsidRPr="008C235E">
        <w:rPr>
          <w:sz w:val="22"/>
          <w:lang w:val="es-ES_tradnl"/>
        </w:rPr>
        <w:t>. El aumento actual de 2</w:t>
      </w:r>
      <w:r w:rsidR="009B6575" w:rsidRPr="008C235E">
        <w:rPr>
          <w:sz w:val="22"/>
          <w:lang w:val="es-ES_tradnl"/>
        </w:rPr>
        <w:t>84,7</w:t>
      </w:r>
      <w:r w:rsidRPr="008C235E">
        <w:rPr>
          <w:sz w:val="22"/>
          <w:lang w:val="es-ES_tradnl"/>
        </w:rPr>
        <w:t xml:space="preserve"> millones en el interanual solo se ha visto afectado por la modificación de los precios de referencia del año anterior, y los cambios en la aportación de los beneficiarios implantados en algunas Comunidades </w:t>
      </w:r>
      <w:proofErr w:type="spellStart"/>
      <w:r w:rsidRPr="008C235E">
        <w:rPr>
          <w:sz w:val="22"/>
          <w:lang w:val="es-ES_tradnl"/>
        </w:rPr>
        <w:t>Autó</w:t>
      </w:r>
      <w:proofErr w:type="spellEnd"/>
      <w:r w:rsidR="00E95AEF" w:rsidRPr="008C235E">
        <w:rPr>
          <w:sz w:val="22"/>
          <w:lang w:val="pt-PT"/>
        </w:rPr>
        <w:t>nomas.</w:t>
      </w:r>
    </w:p>
    <w:p w14:paraId="62AE6EB1" w14:textId="77777777" w:rsidR="00C829A4" w:rsidRDefault="00C829A4">
      <w:pPr>
        <w:pStyle w:val="Cuerpo"/>
        <w:jc w:val="both"/>
      </w:pPr>
    </w:p>
    <w:p w14:paraId="58D96845" w14:textId="77777777" w:rsidR="00C829A4" w:rsidRPr="008C235E" w:rsidRDefault="007A5B8F">
      <w:pPr>
        <w:pStyle w:val="Cuerpo"/>
        <w:jc w:val="both"/>
        <w:rPr>
          <w:b/>
        </w:rPr>
      </w:pPr>
      <w:r w:rsidRPr="008C235E">
        <w:rPr>
          <w:b/>
        </w:rPr>
        <w:t>En este Observatorio se</w:t>
      </w:r>
      <w:r w:rsidR="009B6575" w:rsidRPr="008C235E">
        <w:rPr>
          <w:b/>
        </w:rPr>
        <w:t xml:space="preserve"> analizan por primera vez los datos de consumo hospitalario que comienza a publicar el Ministerio de Sanidad, Servicios Sociales e Igualdad,</w:t>
      </w:r>
      <w:r w:rsidR="009B6575">
        <w:t xml:space="preserve"> aunque todavía con problemas metodológicos y sobre los que se especula con las diferencias de los datos de pago facilitados por el Ministerio de Hacienda y Administraciones Públicas</w:t>
      </w:r>
      <w:r w:rsidR="00EB4C77">
        <w:t xml:space="preserve">. </w:t>
      </w:r>
      <w:r w:rsidR="00EB4C77" w:rsidRPr="008C235E">
        <w:rPr>
          <w:b/>
        </w:rPr>
        <w:t xml:space="preserve">El gasto de medicamentos no es uniforme en las Comunidades Autónomas y todavía está fuertemente lastrado por los medicamentos que se dan a los pacientes ambulatorios y no ingresados que, según los informes de </w:t>
      </w:r>
      <w:r w:rsidR="008C235E" w:rsidRPr="008C235E">
        <w:rPr>
          <w:b/>
        </w:rPr>
        <w:t>IQVIA,</w:t>
      </w:r>
      <w:r w:rsidR="00EB4C77" w:rsidRPr="008C235E">
        <w:rPr>
          <w:b/>
        </w:rPr>
        <w:t xml:space="preserve"> superan a los de los pacientes internados.</w:t>
      </w:r>
    </w:p>
    <w:p w14:paraId="27821574" w14:textId="77777777" w:rsidR="00EB4C77" w:rsidRDefault="00EB4C77">
      <w:pPr>
        <w:pStyle w:val="Cuerpo"/>
        <w:jc w:val="both"/>
      </w:pPr>
    </w:p>
    <w:p w14:paraId="447DDCAE" w14:textId="77777777" w:rsidR="00EB4C77" w:rsidRDefault="00EB4C77">
      <w:pPr>
        <w:pStyle w:val="Cuerpo"/>
        <w:jc w:val="both"/>
      </w:pPr>
      <w:r>
        <w:t xml:space="preserve">Otra cuestión que se analiza es el descenso de ventas de medicamentos financiados que han experimentado las farmacias entre 2011 y 2016 </w:t>
      </w:r>
      <w:r w:rsidRPr="008C235E">
        <w:rPr>
          <w:b/>
        </w:rPr>
        <w:t>que alcanza la cifra de 1.05</w:t>
      </w:r>
      <w:r w:rsidR="00147DB9">
        <w:rPr>
          <w:b/>
        </w:rPr>
        <w:t>7</w:t>
      </w:r>
      <w:r w:rsidRPr="008C235E">
        <w:rPr>
          <w:b/>
        </w:rPr>
        <w:t xml:space="preserve"> millones de euros</w:t>
      </w:r>
      <w:r>
        <w:t xml:space="preserve">. A este descenso ha contribuido en primer término el Real Decreto Ley 16/2012 que al establecer aportaciones a los pensionistas y por niveles de renta, ha hecho disminuir la demanda. También ha influido, y mucho, la </w:t>
      </w:r>
      <w:proofErr w:type="spellStart"/>
      <w:r>
        <w:t>desfinanciación</w:t>
      </w:r>
      <w:proofErr w:type="spellEnd"/>
      <w:r>
        <w:t xml:space="preserve"> de casi 500 medicamentos del año 2012. El descenso de ventas de las farmacias no ha tenido un comportamiento uniforme por Comunidades Autónomas y se han podido identificar aquellas en que los descensos han sido mayores, en algunos casos influidos también por la apertura de nuevas farmacias.</w:t>
      </w:r>
    </w:p>
    <w:p w14:paraId="2B87DB60" w14:textId="77777777" w:rsidR="008C235E" w:rsidRDefault="008C235E">
      <w:pPr>
        <w:pStyle w:val="Cuerpo"/>
        <w:jc w:val="both"/>
      </w:pPr>
    </w:p>
    <w:p w14:paraId="15F7B563" w14:textId="77777777" w:rsidR="00C829A4" w:rsidRDefault="00A773ED">
      <w:pPr>
        <w:pStyle w:val="Cuerpo"/>
        <w:jc w:val="both"/>
      </w:pPr>
      <w:r>
        <w:rPr>
          <w:lang w:val="es-ES_tradnl"/>
        </w:rPr>
        <w:t xml:space="preserve">En cuanto a los datos mensuales del gasto en </w:t>
      </w:r>
      <w:r w:rsidR="00E62931">
        <w:rPr>
          <w:lang w:val="es-ES_tradnl"/>
        </w:rPr>
        <w:t>octubre</w:t>
      </w:r>
      <w:r>
        <w:rPr>
          <w:lang w:val="es-ES_tradnl"/>
        </w:rPr>
        <w:t>, el n</w:t>
      </w:r>
      <w:r>
        <w:t>ú</w:t>
      </w:r>
      <w:r>
        <w:rPr>
          <w:lang w:val="es-ES_tradnl"/>
        </w:rPr>
        <w:t xml:space="preserve">mero de recetas alcanza una cifra de </w:t>
      </w:r>
      <w:r w:rsidR="00453759">
        <w:rPr>
          <w:lang w:val="es-ES_tradnl"/>
        </w:rPr>
        <w:t>7</w:t>
      </w:r>
      <w:r w:rsidR="009B6575">
        <w:rPr>
          <w:lang w:val="es-ES_tradnl"/>
        </w:rPr>
        <w:t>6,8</w:t>
      </w:r>
      <w:r>
        <w:rPr>
          <w:lang w:val="es-ES_tradnl"/>
        </w:rPr>
        <w:t xml:space="preserve"> millones, lo que representa un </w:t>
      </w:r>
      <w:r w:rsidR="009B6575">
        <w:rPr>
          <w:lang w:val="es-ES_tradnl"/>
        </w:rPr>
        <w:t>aumento</w:t>
      </w:r>
      <w:r>
        <w:rPr>
          <w:lang w:val="es-ES_tradnl"/>
        </w:rPr>
        <w:t xml:space="preserve"> del </w:t>
      </w:r>
      <w:r w:rsidR="009B6575">
        <w:rPr>
          <w:lang w:val="es-ES_tradnl"/>
        </w:rPr>
        <w:t>3,82%</w:t>
      </w:r>
      <w:r>
        <w:rPr>
          <w:lang w:val="es-ES_tradnl"/>
        </w:rPr>
        <w:t xml:space="preserve"> con respecto al mismo mes del año anterior, que fue de 7</w:t>
      </w:r>
      <w:r w:rsidR="00453759">
        <w:rPr>
          <w:lang w:val="es-ES_tradnl"/>
        </w:rPr>
        <w:t>3,</w:t>
      </w:r>
      <w:r w:rsidR="009B6575">
        <w:rPr>
          <w:lang w:val="es-ES_tradnl"/>
        </w:rPr>
        <w:t>9</w:t>
      </w:r>
      <w:r>
        <w:rPr>
          <w:lang w:val="es-ES_tradnl"/>
        </w:rPr>
        <w:t xml:space="preserve"> millones. El gasto aumenta un </w:t>
      </w:r>
      <w:r w:rsidR="009B6575">
        <w:rPr>
          <w:lang w:val="es-ES_tradnl"/>
        </w:rPr>
        <w:t>6,08</w:t>
      </w:r>
      <w:r>
        <w:rPr>
          <w:lang w:val="es-ES_tradnl"/>
        </w:rPr>
        <w:t xml:space="preserve">% y, el gasto medio por receta aumenta un </w:t>
      </w:r>
      <w:r w:rsidR="009B6575">
        <w:rPr>
          <w:lang w:val="es-ES_tradnl"/>
        </w:rPr>
        <w:t>2,17</w:t>
      </w:r>
      <w:r>
        <w:rPr>
          <w:lang w:val="es-ES_tradnl"/>
        </w:rPr>
        <w:t xml:space="preserve">%, lo que demuestra la escasa influencia que tuvo la </w:t>
      </w:r>
      <w:r>
        <w:t>ú</w:t>
      </w:r>
      <w:r w:rsidR="00453759">
        <w:rPr>
          <w:lang w:val="es-ES_tradnl"/>
        </w:rPr>
        <w:t>lima</w:t>
      </w:r>
      <w:r>
        <w:rPr>
          <w:lang w:val="es-ES_tradnl"/>
        </w:rPr>
        <w:t xml:space="preserve"> Orden de Precios de Referencia, y una situación relativamente </w:t>
      </w:r>
      <w:r w:rsidR="00912383">
        <w:rPr>
          <w:lang w:val="es-ES_tradnl"/>
        </w:rPr>
        <w:t xml:space="preserve">estable </w:t>
      </w:r>
      <w:r>
        <w:rPr>
          <w:lang w:val="es-ES_tradnl"/>
        </w:rPr>
        <w:t>del mercado financiado, con retrocesos en algunos meses</w:t>
      </w:r>
      <w:r w:rsidR="00912383">
        <w:rPr>
          <w:lang w:val="es-ES_tradnl"/>
        </w:rPr>
        <w:t>.</w:t>
      </w:r>
    </w:p>
    <w:p w14:paraId="5AF663B1" w14:textId="77777777" w:rsidR="00C829A4" w:rsidRDefault="00C829A4">
      <w:pPr>
        <w:pStyle w:val="Cuerpo"/>
        <w:jc w:val="both"/>
        <w:rPr>
          <w:rStyle w:val="Ninguno"/>
          <w:b/>
          <w:bCs/>
        </w:rPr>
      </w:pPr>
    </w:p>
    <w:p w14:paraId="395B5724" w14:textId="77777777" w:rsidR="008C235E" w:rsidRDefault="008C235E">
      <w:pPr>
        <w:pStyle w:val="Cuerpo"/>
        <w:jc w:val="both"/>
        <w:rPr>
          <w:rStyle w:val="Ninguno"/>
          <w:b/>
          <w:bCs/>
        </w:rPr>
      </w:pPr>
    </w:p>
    <w:p w14:paraId="002AD1C1" w14:textId="77777777" w:rsidR="00C829A4" w:rsidRDefault="00A773ED">
      <w:pPr>
        <w:pStyle w:val="Cuerpo"/>
        <w:jc w:val="both"/>
        <w:rPr>
          <w:rStyle w:val="Ninguno"/>
          <w:b/>
          <w:bCs/>
        </w:rPr>
      </w:pPr>
      <w:r>
        <w:rPr>
          <w:rStyle w:val="Ninguno"/>
          <w:b/>
          <w:bCs/>
        </w:rPr>
        <w:t>En lo que se refiere a las cifras acumuladas de recetas, gasto y gasto medio por receta en 2017, se expresan en el cuadro siguiente.</w:t>
      </w:r>
    </w:p>
    <w:p w14:paraId="05BD8C25" w14:textId="77777777" w:rsidR="00C829A4" w:rsidRDefault="00C829A4">
      <w:pPr>
        <w:pStyle w:val="Cuerpo"/>
      </w:pPr>
    </w:p>
    <w:p w14:paraId="53B60F4E" w14:textId="77777777" w:rsidR="00C829A4" w:rsidRDefault="00C829A4">
      <w:pPr>
        <w:pStyle w:val="Cuerpo"/>
      </w:pPr>
    </w:p>
    <w:p w14:paraId="0A75FD77" w14:textId="77777777" w:rsidR="0051693D" w:rsidRDefault="0051693D" w:rsidP="0051693D">
      <w:r>
        <w:t>ACUMULADO ENERO-</w:t>
      </w:r>
      <w:r w:rsidR="00E62931">
        <w:t>OCTUBRE</w:t>
      </w:r>
    </w:p>
    <w:p w14:paraId="6B896E8F" w14:textId="77777777" w:rsidR="0051693D" w:rsidRDefault="0051693D" w:rsidP="0051693D"/>
    <w:tbl>
      <w:tblPr>
        <w:tblStyle w:val="Cuadrculamedia3-nfasis1"/>
        <w:tblW w:w="8901" w:type="dxa"/>
        <w:tblLayout w:type="fixed"/>
        <w:tblLook w:val="04A0" w:firstRow="1" w:lastRow="0" w:firstColumn="1" w:lastColumn="0" w:noHBand="0" w:noVBand="1"/>
      </w:tblPr>
      <w:tblGrid>
        <w:gridCol w:w="3165"/>
        <w:gridCol w:w="2001"/>
        <w:gridCol w:w="2000"/>
        <w:gridCol w:w="1735"/>
      </w:tblGrid>
      <w:tr w:rsidR="001A5F6D" w:rsidRPr="00EB4C77" w14:paraId="052F1595" w14:textId="77777777" w:rsidTr="001A5F6D">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900" w:type="dxa"/>
            <w:gridSpan w:val="4"/>
          </w:tcPr>
          <w:p w14:paraId="126343DC" w14:textId="77777777" w:rsidR="001A5F6D" w:rsidRPr="001A5F6D" w:rsidRDefault="001A5F6D" w:rsidP="001A5F6D">
            <w:pPr>
              <w:jc w:val="center"/>
              <w:rPr>
                <w:rFonts w:ascii="Arial" w:eastAsia="Arial" w:hAnsi="Arial" w:cs="Arial"/>
                <w:color w:val="000000"/>
                <w:u w:color="000000"/>
                <w:lang w:val="es-ES" w:eastAsia="es-ES"/>
              </w:rPr>
            </w:pPr>
            <w:r w:rsidRPr="001A5F6D">
              <w:rPr>
                <w:rFonts w:ascii="Arial" w:eastAsia="Arial" w:hAnsi="Arial" w:cs="Arial"/>
                <w:color w:val="FFFFFF"/>
                <w:u w:color="FFFFFF"/>
                <w:lang w:val="es-ES_tradnl" w:eastAsia="es-ES"/>
              </w:rPr>
              <w:t>Comparación de los diez primeros meses de los años 2016 y 2017</w:t>
            </w:r>
          </w:p>
        </w:tc>
      </w:tr>
      <w:tr w:rsidR="001A5F6D" w:rsidRPr="001A5F6D" w14:paraId="0B816761" w14:textId="77777777" w:rsidTr="001A5F6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165" w:type="dxa"/>
          </w:tcPr>
          <w:p w14:paraId="7A5BB39E" w14:textId="77777777" w:rsidR="001A5F6D" w:rsidRPr="001A5F6D" w:rsidRDefault="001A5F6D" w:rsidP="001A5F6D">
            <w:pPr>
              <w:rPr>
                <w:rFonts w:ascii="Arial" w:eastAsia="Arial" w:hAnsi="Arial" w:cs="Arial"/>
                <w:color w:val="auto"/>
                <w:u w:color="000000"/>
                <w:lang w:val="es-ES" w:eastAsia="es-ES"/>
              </w:rPr>
            </w:pPr>
            <w:r w:rsidRPr="001A5F6D">
              <w:rPr>
                <w:rFonts w:ascii="Arial" w:eastAsia="Arial" w:hAnsi="Arial" w:cs="Arial"/>
                <w:color w:val="auto"/>
                <w:u w:color="FFFFFF"/>
                <w:lang w:val="es-ES_tradnl" w:eastAsia="es-ES"/>
              </w:rPr>
              <w:t>Indicador</w:t>
            </w:r>
          </w:p>
        </w:tc>
        <w:tc>
          <w:tcPr>
            <w:tcW w:w="2001" w:type="dxa"/>
          </w:tcPr>
          <w:p w14:paraId="2B06A0F9" w14:textId="77777777" w:rsidR="001A5F6D" w:rsidRPr="001A5F6D" w:rsidRDefault="001A5F6D" w:rsidP="001A5F6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u w:color="000000"/>
                <w:lang w:val="es-ES" w:eastAsia="es-ES"/>
              </w:rPr>
            </w:pPr>
            <w:r w:rsidRPr="001A5F6D">
              <w:rPr>
                <w:rFonts w:ascii="Arial" w:eastAsia="Arial" w:hAnsi="Arial" w:cs="Arial"/>
                <w:b/>
                <w:bCs/>
                <w:u w:color="FFFFFF"/>
                <w:lang w:val="es-ES_tradnl" w:eastAsia="es-ES"/>
              </w:rPr>
              <w:t>2016</w:t>
            </w:r>
          </w:p>
        </w:tc>
        <w:tc>
          <w:tcPr>
            <w:tcW w:w="2000" w:type="dxa"/>
          </w:tcPr>
          <w:p w14:paraId="385A2B94" w14:textId="77777777" w:rsidR="001A5F6D" w:rsidRPr="001A5F6D" w:rsidRDefault="001A5F6D" w:rsidP="001A5F6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u w:color="000000"/>
                <w:lang w:val="es-ES" w:eastAsia="es-ES"/>
              </w:rPr>
            </w:pPr>
            <w:r w:rsidRPr="001A5F6D">
              <w:rPr>
                <w:rFonts w:ascii="Arial" w:eastAsia="Arial" w:hAnsi="Arial" w:cs="Arial"/>
                <w:b/>
                <w:bCs/>
                <w:u w:color="FFFFFF"/>
                <w:lang w:val="es-ES_tradnl" w:eastAsia="es-ES"/>
              </w:rPr>
              <w:t>2017</w:t>
            </w:r>
          </w:p>
        </w:tc>
        <w:tc>
          <w:tcPr>
            <w:tcW w:w="1735" w:type="dxa"/>
          </w:tcPr>
          <w:p w14:paraId="76468C4D" w14:textId="77777777" w:rsidR="001A5F6D" w:rsidRPr="001A5F6D" w:rsidRDefault="001A5F6D" w:rsidP="001A5F6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u w:color="000000"/>
                <w:lang w:val="es-ES" w:eastAsia="es-ES"/>
              </w:rPr>
            </w:pPr>
            <w:r w:rsidRPr="001A5F6D">
              <w:rPr>
                <w:rFonts w:ascii="Arial" w:eastAsia="Arial" w:hAnsi="Arial" w:cs="Arial"/>
                <w:b/>
                <w:bCs/>
                <w:u w:color="FFFFFF"/>
                <w:lang w:val="es-ES_tradnl" w:eastAsia="es-ES"/>
              </w:rPr>
              <w:t>% incremento</w:t>
            </w:r>
          </w:p>
        </w:tc>
      </w:tr>
      <w:tr w:rsidR="001A5F6D" w:rsidRPr="001A5F6D" w14:paraId="54587251" w14:textId="77777777" w:rsidTr="001A5F6D">
        <w:trPr>
          <w:trHeight w:val="378"/>
        </w:trPr>
        <w:tc>
          <w:tcPr>
            <w:cnfStyle w:val="001000000000" w:firstRow="0" w:lastRow="0" w:firstColumn="1" w:lastColumn="0" w:oddVBand="0" w:evenVBand="0" w:oddHBand="0" w:evenHBand="0" w:firstRowFirstColumn="0" w:firstRowLastColumn="0" w:lastRowFirstColumn="0" w:lastRowLastColumn="0"/>
            <w:tcW w:w="3165" w:type="dxa"/>
          </w:tcPr>
          <w:p w14:paraId="7E679C06" w14:textId="77777777" w:rsidR="001A5F6D" w:rsidRPr="001A5F6D" w:rsidRDefault="001A5F6D" w:rsidP="001A5F6D">
            <w:pPr>
              <w:jc w:val="both"/>
              <w:rPr>
                <w:rFonts w:ascii="Arial" w:eastAsia="Arial" w:hAnsi="Arial" w:cs="Arial"/>
                <w:color w:val="000000"/>
                <w:u w:color="000000"/>
                <w:lang w:val="es-ES" w:eastAsia="es-ES"/>
              </w:rPr>
            </w:pPr>
            <w:r w:rsidRPr="001A5F6D">
              <w:rPr>
                <w:rFonts w:ascii="Arial" w:eastAsia="Arial" w:hAnsi="Arial" w:cs="Arial"/>
                <w:color w:val="FFFFFF"/>
                <w:u w:color="FFFFFF"/>
                <w:lang w:val="es-ES_tradnl" w:eastAsia="es-ES"/>
              </w:rPr>
              <w:t>Número de recetas</w:t>
            </w:r>
          </w:p>
        </w:tc>
        <w:tc>
          <w:tcPr>
            <w:tcW w:w="2001" w:type="dxa"/>
          </w:tcPr>
          <w:p w14:paraId="67D97D53" w14:textId="77777777" w:rsidR="001A5F6D" w:rsidRPr="001A5F6D" w:rsidRDefault="001A5F6D" w:rsidP="001A5F6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color w:val="000000"/>
                <w:u w:color="000000"/>
                <w:lang w:val="es-ES" w:eastAsia="es-ES"/>
              </w:rPr>
              <w:t>749.016.256</w:t>
            </w:r>
          </w:p>
        </w:tc>
        <w:tc>
          <w:tcPr>
            <w:tcW w:w="2000" w:type="dxa"/>
          </w:tcPr>
          <w:p w14:paraId="1DA9CFC4" w14:textId="77777777" w:rsidR="001A5F6D" w:rsidRPr="001A5F6D" w:rsidRDefault="001A5F6D" w:rsidP="001A5F6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color w:val="000000"/>
                <w:u w:color="000000"/>
                <w:lang w:val="es-ES" w:eastAsia="es-ES"/>
              </w:rPr>
              <w:t>756.216.924</w:t>
            </w:r>
          </w:p>
        </w:tc>
        <w:tc>
          <w:tcPr>
            <w:tcW w:w="1735" w:type="dxa"/>
          </w:tcPr>
          <w:p w14:paraId="16945A49" w14:textId="77777777" w:rsidR="001A5F6D" w:rsidRPr="001A5F6D" w:rsidRDefault="001A5F6D" w:rsidP="001A5F6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b/>
                <w:bCs/>
                <w:color w:val="000000"/>
                <w:u w:color="000000"/>
                <w:lang w:val="es-ES_tradnl" w:eastAsia="es-ES"/>
              </w:rPr>
              <w:t>0,96</w:t>
            </w:r>
          </w:p>
        </w:tc>
      </w:tr>
      <w:tr w:rsidR="001A5F6D" w:rsidRPr="001A5F6D" w14:paraId="6B9BA0B6" w14:textId="77777777" w:rsidTr="001A5F6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165" w:type="dxa"/>
          </w:tcPr>
          <w:p w14:paraId="6026786C" w14:textId="77777777" w:rsidR="001A5F6D" w:rsidRPr="001A5F6D" w:rsidRDefault="001A5F6D" w:rsidP="001A5F6D">
            <w:pPr>
              <w:jc w:val="both"/>
              <w:rPr>
                <w:rFonts w:ascii="Arial" w:eastAsia="Arial" w:hAnsi="Arial" w:cs="Arial"/>
                <w:color w:val="000000"/>
                <w:u w:color="000000"/>
                <w:lang w:val="es-ES" w:eastAsia="es-ES"/>
              </w:rPr>
            </w:pPr>
            <w:r w:rsidRPr="001A5F6D">
              <w:rPr>
                <w:rFonts w:ascii="Arial" w:eastAsia="Arial" w:hAnsi="Arial" w:cs="Arial"/>
                <w:color w:val="FFFFFF"/>
                <w:u w:color="FFFFFF"/>
                <w:lang w:val="es-ES_tradnl" w:eastAsia="es-ES"/>
              </w:rPr>
              <w:t xml:space="preserve">Gasto </w:t>
            </w:r>
          </w:p>
        </w:tc>
        <w:tc>
          <w:tcPr>
            <w:tcW w:w="2001" w:type="dxa"/>
          </w:tcPr>
          <w:p w14:paraId="3EE6AFC2" w14:textId="77777777" w:rsidR="001A5F6D" w:rsidRPr="001A5F6D" w:rsidRDefault="001A5F6D" w:rsidP="001A5F6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color w:val="000000"/>
                <w:u w:color="000000"/>
                <w:lang w:val="es-ES" w:eastAsia="es-ES"/>
              </w:rPr>
              <w:t>8.232.868.847</w:t>
            </w:r>
          </w:p>
        </w:tc>
        <w:tc>
          <w:tcPr>
            <w:tcW w:w="2000" w:type="dxa"/>
          </w:tcPr>
          <w:p w14:paraId="32F18E3A" w14:textId="77777777" w:rsidR="001A5F6D" w:rsidRPr="001A5F6D" w:rsidRDefault="001A5F6D" w:rsidP="001A5F6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color w:val="000000"/>
                <w:u w:color="000000"/>
                <w:lang w:val="es-ES" w:eastAsia="es-ES"/>
              </w:rPr>
              <w:t>8.456.025.075</w:t>
            </w:r>
          </w:p>
        </w:tc>
        <w:tc>
          <w:tcPr>
            <w:tcW w:w="1735" w:type="dxa"/>
          </w:tcPr>
          <w:p w14:paraId="77EA1E5C" w14:textId="77777777" w:rsidR="001A5F6D" w:rsidRPr="001A5F6D" w:rsidRDefault="001A5F6D" w:rsidP="001A5F6D">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b/>
                <w:bCs/>
                <w:color w:val="000000"/>
                <w:u w:color="000000"/>
                <w:lang w:val="es-ES_tradnl" w:eastAsia="es-ES"/>
              </w:rPr>
              <w:t>2,71</w:t>
            </w:r>
          </w:p>
        </w:tc>
      </w:tr>
      <w:tr w:rsidR="001A5F6D" w:rsidRPr="001A5F6D" w14:paraId="0C0559F4" w14:textId="77777777" w:rsidTr="001A5F6D">
        <w:trPr>
          <w:trHeight w:val="308"/>
        </w:trPr>
        <w:tc>
          <w:tcPr>
            <w:cnfStyle w:val="001000000000" w:firstRow="0" w:lastRow="0" w:firstColumn="1" w:lastColumn="0" w:oddVBand="0" w:evenVBand="0" w:oddHBand="0" w:evenHBand="0" w:firstRowFirstColumn="0" w:firstRowLastColumn="0" w:lastRowFirstColumn="0" w:lastRowLastColumn="0"/>
            <w:tcW w:w="3165" w:type="dxa"/>
          </w:tcPr>
          <w:p w14:paraId="4C715888" w14:textId="77777777" w:rsidR="001A5F6D" w:rsidRPr="001A5F6D" w:rsidRDefault="001A5F6D" w:rsidP="001A5F6D">
            <w:pPr>
              <w:jc w:val="both"/>
              <w:rPr>
                <w:rFonts w:ascii="Arial" w:eastAsia="Arial" w:hAnsi="Arial" w:cs="Arial"/>
                <w:color w:val="000000"/>
                <w:u w:color="000000"/>
                <w:lang w:val="es-ES" w:eastAsia="es-ES"/>
              </w:rPr>
            </w:pPr>
            <w:r w:rsidRPr="001A5F6D">
              <w:rPr>
                <w:rFonts w:ascii="Arial" w:eastAsia="Arial" w:hAnsi="Arial" w:cs="Arial"/>
                <w:color w:val="FFFFFF"/>
                <w:u w:color="FFFFFF"/>
                <w:lang w:val="es-ES_tradnl" w:eastAsia="es-ES"/>
              </w:rPr>
              <w:t>Gasto medio por receta</w:t>
            </w:r>
          </w:p>
        </w:tc>
        <w:tc>
          <w:tcPr>
            <w:tcW w:w="2001" w:type="dxa"/>
          </w:tcPr>
          <w:p w14:paraId="335E4155" w14:textId="77777777" w:rsidR="001A5F6D" w:rsidRPr="001A5F6D" w:rsidRDefault="001A5F6D" w:rsidP="001A5F6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color w:val="000000"/>
                <w:u w:color="000000"/>
                <w:lang w:val="es-ES_tradnl" w:eastAsia="es-ES"/>
              </w:rPr>
              <w:t>10,99</w:t>
            </w:r>
          </w:p>
        </w:tc>
        <w:tc>
          <w:tcPr>
            <w:tcW w:w="2000" w:type="dxa"/>
          </w:tcPr>
          <w:p w14:paraId="41FD313F" w14:textId="77777777" w:rsidR="001A5F6D" w:rsidRPr="001A5F6D" w:rsidRDefault="001A5F6D" w:rsidP="001A5F6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color w:val="000000"/>
                <w:u w:color="000000"/>
                <w:lang w:val="es-ES_tradnl" w:eastAsia="es-ES"/>
              </w:rPr>
              <w:t>11,18</w:t>
            </w:r>
          </w:p>
        </w:tc>
        <w:tc>
          <w:tcPr>
            <w:tcW w:w="1735" w:type="dxa"/>
          </w:tcPr>
          <w:p w14:paraId="29570FC9" w14:textId="77777777" w:rsidR="001A5F6D" w:rsidRPr="001A5F6D" w:rsidRDefault="001A5F6D" w:rsidP="001A5F6D">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u w:color="000000"/>
                <w:lang w:val="es-ES" w:eastAsia="es-ES"/>
              </w:rPr>
            </w:pPr>
            <w:r w:rsidRPr="001A5F6D">
              <w:rPr>
                <w:rFonts w:ascii="Arial" w:eastAsia="Arial" w:hAnsi="Arial" w:cs="Arial"/>
                <w:b/>
                <w:bCs/>
                <w:color w:val="000000"/>
                <w:u w:color="000000"/>
                <w:lang w:val="es-ES_tradnl" w:eastAsia="es-ES"/>
              </w:rPr>
              <w:t>1,73</w:t>
            </w:r>
          </w:p>
        </w:tc>
      </w:tr>
    </w:tbl>
    <w:p w14:paraId="4458A781" w14:textId="77777777" w:rsidR="0051693D" w:rsidRDefault="0051693D" w:rsidP="0051693D"/>
    <w:p w14:paraId="181ECCBE" w14:textId="77777777" w:rsidR="0051693D" w:rsidRDefault="0051693D" w:rsidP="0051693D"/>
    <w:p w14:paraId="70A1566F" w14:textId="77777777" w:rsidR="00C829A4" w:rsidRDefault="00C829A4">
      <w:pPr>
        <w:pStyle w:val="Cuerpo"/>
        <w:jc w:val="both"/>
        <w:rPr>
          <w:rStyle w:val="Ninguno"/>
          <w:b/>
          <w:bCs/>
        </w:rPr>
      </w:pPr>
    </w:p>
    <w:p w14:paraId="787DD01D" w14:textId="77777777" w:rsidR="00C829A4" w:rsidRDefault="00A773ED">
      <w:pPr>
        <w:pStyle w:val="Cuerpo"/>
        <w:jc w:val="both"/>
        <w:rPr>
          <w:rStyle w:val="Ninguno"/>
          <w:rFonts w:ascii="Arial Black" w:hAnsi="Arial Black"/>
          <w:color w:val="4BACC6"/>
          <w:u w:color="4BACC6"/>
          <w:lang w:val="pt-PT"/>
        </w:rPr>
      </w:pPr>
      <w:r>
        <w:rPr>
          <w:rStyle w:val="Ninguno"/>
          <w:rFonts w:ascii="Arial Black" w:hAnsi="Arial Black"/>
          <w:color w:val="4BACC6"/>
          <w:u w:color="4BACC6"/>
        </w:rPr>
        <w:t>Evolución de la Facturación de recetas en los ú</w:t>
      </w:r>
      <w:proofErr w:type="spellStart"/>
      <w:r>
        <w:rPr>
          <w:rStyle w:val="Ninguno"/>
          <w:rFonts w:ascii="Arial Black" w:hAnsi="Arial Black"/>
          <w:color w:val="4BACC6"/>
          <w:u w:color="4BACC6"/>
          <w:lang w:val="pt-PT"/>
        </w:rPr>
        <w:t>ltimos</w:t>
      </w:r>
      <w:proofErr w:type="spellEnd"/>
      <w:r>
        <w:rPr>
          <w:rStyle w:val="Ninguno"/>
          <w:rFonts w:ascii="Arial Black" w:hAnsi="Arial Black"/>
          <w:color w:val="4BACC6"/>
          <w:u w:color="4BACC6"/>
          <w:lang w:val="pt-PT"/>
        </w:rPr>
        <w:t xml:space="preserve"> doce meses</w:t>
      </w:r>
    </w:p>
    <w:p w14:paraId="0DA5E90A" w14:textId="77777777" w:rsidR="00784443" w:rsidRDefault="00784443">
      <w:pPr>
        <w:pStyle w:val="Cuerpo"/>
        <w:jc w:val="both"/>
        <w:rPr>
          <w:rStyle w:val="Ninguno"/>
          <w:rFonts w:ascii="Arial Black" w:hAnsi="Arial Black"/>
          <w:color w:val="4BACC6"/>
          <w:u w:color="4BACC6"/>
          <w:lang w:val="pt-PT"/>
        </w:rPr>
      </w:pPr>
    </w:p>
    <w:p w14:paraId="30E9EBE4" w14:textId="77777777" w:rsidR="00912383" w:rsidRDefault="00784443">
      <w:pPr>
        <w:pStyle w:val="Cuerpo"/>
        <w:jc w:val="both"/>
        <w:rPr>
          <w:rStyle w:val="Ninguno"/>
          <w:rFonts w:ascii="Arial Black" w:eastAsia="Arial Black" w:hAnsi="Arial Black" w:cs="Arial Black"/>
          <w:color w:val="4BACC6"/>
          <w:u w:color="4BACC6"/>
        </w:rPr>
      </w:pPr>
      <w:r>
        <w:rPr>
          <w:rFonts w:ascii="Arial Black" w:eastAsia="Arial Black" w:hAnsi="Arial Black" w:cs="Arial Black"/>
          <w:noProof/>
          <w:color w:val="4BACC6"/>
          <w:u w:color="4BACC6"/>
          <w:lang w:val="es-ES_tradnl" w:eastAsia="es-ES_tradnl"/>
        </w:rPr>
        <w:drawing>
          <wp:inline distT="0" distB="0" distL="0" distR="0" wp14:anchorId="511B0CF7" wp14:editId="15CD42B7">
            <wp:extent cx="5638165" cy="45618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165" cy="4561840"/>
                    </a:xfrm>
                    <a:prstGeom prst="rect">
                      <a:avLst/>
                    </a:prstGeom>
                    <a:noFill/>
                  </pic:spPr>
                </pic:pic>
              </a:graphicData>
            </a:graphic>
          </wp:inline>
        </w:drawing>
      </w:r>
    </w:p>
    <w:p w14:paraId="190B59B4" w14:textId="77777777" w:rsidR="008C235E" w:rsidRDefault="008C235E">
      <w:pPr>
        <w:pStyle w:val="Cuerpo"/>
        <w:rPr>
          <w:rStyle w:val="Ninguno"/>
          <w:rFonts w:ascii="Arial Black" w:hAnsi="Arial Black"/>
          <w:color w:val="008080"/>
          <w:u w:color="008080"/>
        </w:rPr>
      </w:pPr>
    </w:p>
    <w:p w14:paraId="637D19FE" w14:textId="77777777" w:rsidR="00C829A4" w:rsidRDefault="00A773ED">
      <w:pPr>
        <w:pStyle w:val="Cuerpo"/>
        <w:rPr>
          <w:rStyle w:val="Ninguno"/>
          <w:rFonts w:ascii="Arial Black" w:eastAsia="Arial Black" w:hAnsi="Arial Black" w:cs="Arial Black"/>
          <w:color w:val="008080"/>
          <w:u w:color="008080"/>
        </w:rPr>
      </w:pPr>
      <w:r>
        <w:rPr>
          <w:rStyle w:val="Ninguno"/>
          <w:rFonts w:ascii="Arial Black" w:hAnsi="Arial Black"/>
          <w:color w:val="008080"/>
          <w:u w:color="008080"/>
        </w:rPr>
        <w:lastRenderedPageBreak/>
        <w:t xml:space="preserve">Tendencia </w:t>
      </w:r>
      <w:proofErr w:type="spellStart"/>
      <w:r>
        <w:rPr>
          <w:rStyle w:val="Ninguno"/>
          <w:rFonts w:ascii="Arial Black" w:hAnsi="Arial Black"/>
          <w:color w:val="008080"/>
          <w:u w:color="008080"/>
        </w:rPr>
        <w:t>logarí</w:t>
      </w:r>
      <w:r>
        <w:rPr>
          <w:rStyle w:val="Ninguno"/>
          <w:rFonts w:ascii="Arial Black" w:hAnsi="Arial Black"/>
          <w:color w:val="008080"/>
          <w:u w:color="008080"/>
          <w:lang w:val="it-IT"/>
        </w:rPr>
        <w:t>tmica</w:t>
      </w:r>
      <w:proofErr w:type="spellEnd"/>
    </w:p>
    <w:p w14:paraId="515B09AD" w14:textId="77777777" w:rsidR="00C829A4" w:rsidRDefault="00C829A4">
      <w:pPr>
        <w:pStyle w:val="Cuerpo"/>
        <w:jc w:val="both"/>
      </w:pPr>
    </w:p>
    <w:p w14:paraId="2C8F1AF9" w14:textId="77777777" w:rsidR="00C829A4" w:rsidRDefault="00A773ED">
      <w:pPr>
        <w:pStyle w:val="Cuerpo"/>
        <w:jc w:val="both"/>
        <w:rPr>
          <w:rStyle w:val="Ninguno"/>
          <w:b/>
          <w:bCs/>
        </w:rPr>
      </w:pPr>
      <w:r>
        <w:rPr>
          <w:rStyle w:val="Ninguno"/>
          <w:b/>
          <w:bCs/>
        </w:rPr>
        <w:t>En la</w:t>
      </w:r>
      <w:r>
        <w:t xml:space="preserve"> </w:t>
      </w:r>
      <w:r>
        <w:rPr>
          <w:rStyle w:val="Ninguno"/>
          <w:b/>
          <w:bCs/>
        </w:rPr>
        <w:t xml:space="preserve">tendencia de gasto se aprecia </w:t>
      </w:r>
      <w:r w:rsidR="001A5F6D">
        <w:rPr>
          <w:rStyle w:val="Ninguno"/>
          <w:b/>
          <w:bCs/>
        </w:rPr>
        <w:t xml:space="preserve">una cierta </w:t>
      </w:r>
      <w:r>
        <w:rPr>
          <w:rStyle w:val="Ninguno"/>
          <w:b/>
          <w:bCs/>
        </w:rPr>
        <w:t>estabilidad</w:t>
      </w:r>
      <w:r w:rsidR="001A5F6D">
        <w:rPr>
          <w:rStyle w:val="Ninguno"/>
          <w:b/>
          <w:bCs/>
        </w:rPr>
        <w:t xml:space="preserve"> en el crecimiento de gasto y gasto medio por receta</w:t>
      </w:r>
      <w:r>
        <w:rPr>
          <w:rStyle w:val="Ninguno"/>
          <w:b/>
          <w:bCs/>
        </w:rPr>
        <w:t>, y se aprecia un claro retroceso a medio plazo</w:t>
      </w:r>
      <w:r w:rsidR="001A5F6D">
        <w:rPr>
          <w:rStyle w:val="Ninguno"/>
          <w:b/>
          <w:bCs/>
        </w:rPr>
        <w:t xml:space="preserve"> en crecimiento del número de recetas</w:t>
      </w:r>
      <w:r w:rsidR="00532D1D">
        <w:rPr>
          <w:rStyle w:val="Ninguno"/>
          <w:b/>
          <w:bCs/>
        </w:rPr>
        <w:t>.</w:t>
      </w:r>
    </w:p>
    <w:p w14:paraId="090A963B" w14:textId="77777777" w:rsidR="001A5F6D" w:rsidRDefault="001A5F6D">
      <w:pPr>
        <w:pStyle w:val="Cuerpo"/>
        <w:jc w:val="both"/>
        <w:rPr>
          <w:rStyle w:val="Ninguno"/>
          <w:b/>
          <w:bCs/>
        </w:rPr>
      </w:pPr>
    </w:p>
    <w:p w14:paraId="76320BC1" w14:textId="77777777" w:rsidR="00C829A4" w:rsidRDefault="00A773ED">
      <w:pPr>
        <w:pStyle w:val="Cuerpo"/>
        <w:jc w:val="both"/>
      </w:pPr>
      <w:r>
        <w:rPr>
          <w:lang w:val="es-ES_tradnl"/>
        </w:rPr>
        <w:t xml:space="preserve">Las previsiones a corto plazo muestran que, aunque se mantiene el gasto en el momento actual, tanto en el acumulado como en el interanual, </w:t>
      </w:r>
      <w:r>
        <w:rPr>
          <w:lang w:val="fr-FR"/>
        </w:rPr>
        <w:t>é</w:t>
      </w:r>
      <w:proofErr w:type="spellStart"/>
      <w:r>
        <w:rPr>
          <w:lang w:val="es-ES_tradnl"/>
        </w:rPr>
        <w:t>ste</w:t>
      </w:r>
      <w:proofErr w:type="spellEnd"/>
      <w:r>
        <w:rPr>
          <w:lang w:val="es-ES_tradnl"/>
        </w:rPr>
        <w:t xml:space="preserve"> puede experimentar descensos algunos meses.</w:t>
      </w:r>
    </w:p>
    <w:p w14:paraId="78F9DF66" w14:textId="77777777" w:rsidR="00C829A4" w:rsidRDefault="00C829A4">
      <w:pPr>
        <w:pStyle w:val="Cuerpo"/>
        <w:jc w:val="both"/>
        <w:rPr>
          <w:rStyle w:val="Ninguno"/>
          <w:b/>
          <w:bCs/>
        </w:rPr>
      </w:pPr>
    </w:p>
    <w:p w14:paraId="24FC48AA" w14:textId="77777777" w:rsidR="00C829A4" w:rsidRDefault="00A773ED">
      <w:pPr>
        <w:pStyle w:val="Cuerpo"/>
        <w:jc w:val="both"/>
        <w:rPr>
          <w:rStyle w:val="Ninguno"/>
          <w:b/>
          <w:bCs/>
        </w:rPr>
      </w:pPr>
      <w:r>
        <w:rPr>
          <w:rStyle w:val="Ninguno"/>
          <w:b/>
          <w:bCs/>
        </w:rPr>
        <w:t xml:space="preserve">En este ejercicio están influyendo otros factores de carácter estacional particularmente la </w:t>
      </w:r>
      <w:proofErr w:type="spellStart"/>
      <w:r>
        <w:rPr>
          <w:rStyle w:val="Ninguno"/>
          <w:b/>
          <w:bCs/>
        </w:rPr>
        <w:t>distribució</w:t>
      </w:r>
      <w:proofErr w:type="spellEnd"/>
      <w:r w:rsidR="00462B93">
        <w:rPr>
          <w:rStyle w:val="Ninguno"/>
          <w:b/>
          <w:bCs/>
          <w:lang w:val="nl-NL"/>
        </w:rPr>
        <w:t xml:space="preserve">n de </w:t>
      </w:r>
      <w:r w:rsidR="00912383">
        <w:rPr>
          <w:rStyle w:val="Ninguno"/>
          <w:b/>
          <w:bCs/>
        </w:rPr>
        <w:t>días</w:t>
      </w:r>
      <w:r>
        <w:rPr>
          <w:rStyle w:val="Ninguno"/>
          <w:b/>
          <w:bCs/>
        </w:rPr>
        <w:t xml:space="preserve"> festivos y las fechas de facturación lo que hace mucho más irregular la tendencia y, </w:t>
      </w:r>
      <w:proofErr w:type="spellStart"/>
      <w:r>
        <w:rPr>
          <w:rStyle w:val="Ninguno"/>
          <w:b/>
          <w:bCs/>
        </w:rPr>
        <w:t>tambi</w:t>
      </w:r>
      <w:proofErr w:type="spellEnd"/>
      <w:r>
        <w:rPr>
          <w:rStyle w:val="Ninguno"/>
          <w:b/>
          <w:bCs/>
          <w:lang w:val="fr-FR"/>
        </w:rPr>
        <w:t>é</w:t>
      </w:r>
      <w:r>
        <w:rPr>
          <w:rStyle w:val="Ninguno"/>
          <w:b/>
          <w:bCs/>
          <w:lang w:val="pt-PT"/>
        </w:rPr>
        <w:t xml:space="preserve">n, medidas de </w:t>
      </w:r>
      <w:proofErr w:type="spellStart"/>
      <w:r>
        <w:rPr>
          <w:rStyle w:val="Ninguno"/>
          <w:b/>
          <w:bCs/>
          <w:lang w:val="pt-PT"/>
        </w:rPr>
        <w:t>car</w:t>
      </w:r>
      <w:r>
        <w:rPr>
          <w:rStyle w:val="Ninguno"/>
          <w:b/>
          <w:bCs/>
        </w:rPr>
        <w:t>ácter</w:t>
      </w:r>
      <w:proofErr w:type="spellEnd"/>
      <w:r>
        <w:rPr>
          <w:rStyle w:val="Ninguno"/>
          <w:b/>
          <w:bCs/>
        </w:rPr>
        <w:t xml:space="preserve"> local relacionadas con la aportación de los beneficiarios.</w:t>
      </w:r>
    </w:p>
    <w:p w14:paraId="7D7C57ED" w14:textId="77777777" w:rsidR="00C829A4" w:rsidRDefault="00C829A4">
      <w:pPr>
        <w:pStyle w:val="Cuerpo"/>
        <w:jc w:val="both"/>
      </w:pPr>
    </w:p>
    <w:p w14:paraId="26462BD1" w14:textId="77777777" w:rsidR="00C829A4" w:rsidRDefault="00C829A4">
      <w:pPr>
        <w:pStyle w:val="Cuerpo"/>
        <w:jc w:val="both"/>
        <w:rPr>
          <w:rStyle w:val="Ninguno"/>
          <w:b/>
          <w:bCs/>
        </w:rPr>
      </w:pPr>
    </w:p>
    <w:p w14:paraId="6D0BA932" w14:textId="77777777" w:rsidR="00C829A4" w:rsidRDefault="00A773ED">
      <w:pPr>
        <w:pStyle w:val="Cuerpo"/>
        <w:jc w:val="both"/>
        <w:rPr>
          <w:rStyle w:val="Ninguno"/>
          <w:b/>
          <w:bCs/>
          <w:color w:val="4BACC6"/>
          <w:u w:color="4BACC6"/>
        </w:rPr>
      </w:pPr>
      <w:r>
        <w:rPr>
          <w:rStyle w:val="Ninguno"/>
          <w:b/>
          <w:bCs/>
          <w:color w:val="4BACC6"/>
          <w:u w:color="4BACC6"/>
        </w:rPr>
        <w:t xml:space="preserve">TENDENCIA LOGARÍTMICA (Proyección de 2 periodos hasta </w:t>
      </w:r>
      <w:r w:rsidR="00532D1D">
        <w:rPr>
          <w:rStyle w:val="Ninguno"/>
          <w:b/>
          <w:bCs/>
          <w:color w:val="4BACC6"/>
          <w:u w:color="4BACC6"/>
        </w:rPr>
        <w:t>dic</w:t>
      </w:r>
      <w:r w:rsidR="0051693D">
        <w:rPr>
          <w:rStyle w:val="Ninguno"/>
          <w:b/>
          <w:bCs/>
          <w:color w:val="4BACC6"/>
          <w:u w:color="4BACC6"/>
        </w:rPr>
        <w:t>iembre</w:t>
      </w:r>
      <w:r>
        <w:rPr>
          <w:rStyle w:val="Ninguno"/>
          <w:b/>
          <w:bCs/>
          <w:color w:val="4BACC6"/>
          <w:u w:color="4BACC6"/>
        </w:rPr>
        <w:t xml:space="preserve"> de 2017)</w:t>
      </w:r>
    </w:p>
    <w:p w14:paraId="7366CCCF" w14:textId="77777777" w:rsidR="00C829A4" w:rsidRDefault="00C829A4">
      <w:pPr>
        <w:pStyle w:val="Cuerpo"/>
        <w:jc w:val="center"/>
        <w:rPr>
          <w:rStyle w:val="Ninguno"/>
          <w:b/>
          <w:bCs/>
        </w:rPr>
      </w:pPr>
    </w:p>
    <w:p w14:paraId="49CC25E6" w14:textId="77777777" w:rsidR="00C829A4" w:rsidRDefault="00784443">
      <w:pPr>
        <w:pStyle w:val="Cuerpo"/>
        <w:rPr>
          <w:rStyle w:val="Ninguno"/>
          <w:rFonts w:ascii="Arial Black" w:eastAsia="Arial Black" w:hAnsi="Arial Black" w:cs="Arial Black"/>
          <w:color w:val="008080"/>
          <w:sz w:val="28"/>
          <w:szCs w:val="28"/>
          <w:u w:color="008080"/>
        </w:rPr>
      </w:pPr>
      <w:r>
        <w:rPr>
          <w:rFonts w:ascii="Arial Black" w:eastAsia="Arial Black" w:hAnsi="Arial Black" w:cs="Arial Black"/>
          <w:noProof/>
          <w:color w:val="008080"/>
          <w:sz w:val="28"/>
          <w:szCs w:val="28"/>
          <w:u w:color="008080"/>
          <w:lang w:val="es-ES_tradnl" w:eastAsia="es-ES_tradnl"/>
        </w:rPr>
        <w:drawing>
          <wp:inline distT="0" distB="0" distL="0" distR="0" wp14:anchorId="7E8517EE" wp14:editId="52F4012B">
            <wp:extent cx="5633467" cy="456098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165" cy="4564787"/>
                    </a:xfrm>
                    <a:prstGeom prst="rect">
                      <a:avLst/>
                    </a:prstGeom>
                    <a:noFill/>
                  </pic:spPr>
                </pic:pic>
              </a:graphicData>
            </a:graphic>
          </wp:inline>
        </w:drawing>
      </w:r>
    </w:p>
    <w:p w14:paraId="37D6B668" w14:textId="77777777" w:rsidR="00784443" w:rsidRDefault="00784443">
      <w:pPr>
        <w:pStyle w:val="Cuerpo"/>
        <w:rPr>
          <w:rStyle w:val="Ninguno"/>
          <w:rFonts w:ascii="Arial Black" w:hAnsi="Arial Black"/>
          <w:color w:val="008080"/>
          <w:sz w:val="28"/>
          <w:szCs w:val="28"/>
          <w:u w:color="008080"/>
          <w:lang w:val="pt-PT"/>
        </w:rPr>
      </w:pPr>
    </w:p>
    <w:p w14:paraId="4320830E" w14:textId="77777777" w:rsidR="001A5F6D" w:rsidRDefault="001A5F6D">
      <w:pPr>
        <w:pStyle w:val="Cuerpo"/>
        <w:rPr>
          <w:rStyle w:val="Ninguno"/>
          <w:rFonts w:ascii="Arial Black" w:hAnsi="Arial Black"/>
          <w:color w:val="008080"/>
          <w:sz w:val="28"/>
          <w:szCs w:val="28"/>
          <w:u w:color="008080"/>
          <w:lang w:val="pt-PT"/>
        </w:rPr>
      </w:pPr>
    </w:p>
    <w:p w14:paraId="515090AB" w14:textId="77777777" w:rsidR="00C829A4" w:rsidRDefault="00A773E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pt-PT"/>
        </w:rPr>
        <w:lastRenderedPageBreak/>
        <w:t xml:space="preserve">Gasto por Comunidades </w:t>
      </w:r>
      <w:r>
        <w:rPr>
          <w:rStyle w:val="Ninguno"/>
          <w:rFonts w:ascii="Arial Black" w:hAnsi="Arial Black"/>
          <w:color w:val="31849B"/>
          <w:sz w:val="28"/>
          <w:szCs w:val="28"/>
          <w:u w:color="31849B"/>
        </w:rPr>
        <w:t>Autónomas</w:t>
      </w:r>
    </w:p>
    <w:p w14:paraId="1ACACF22" w14:textId="77777777" w:rsidR="00C829A4" w:rsidRDefault="00C829A4">
      <w:pPr>
        <w:pStyle w:val="Cuerpo"/>
      </w:pPr>
    </w:p>
    <w:p w14:paraId="71790B1D" w14:textId="77777777" w:rsidR="00C829A4" w:rsidRDefault="00A773ED">
      <w:pPr>
        <w:pStyle w:val="Cuerpo"/>
        <w:jc w:val="both"/>
        <w:rPr>
          <w:rStyle w:val="Ninguno"/>
          <w:b/>
          <w:bCs/>
        </w:rPr>
      </w:pPr>
      <w:r>
        <w:rPr>
          <w:rStyle w:val="Ninguno"/>
          <w:b/>
          <w:bCs/>
        </w:rPr>
        <w:t xml:space="preserve">En </w:t>
      </w:r>
      <w:proofErr w:type="gramStart"/>
      <w:r w:rsidR="00E62931">
        <w:rPr>
          <w:rStyle w:val="Ninguno"/>
          <w:b/>
          <w:bCs/>
        </w:rPr>
        <w:t>Octubre</w:t>
      </w:r>
      <w:proofErr w:type="gramEnd"/>
      <w:r>
        <w:rPr>
          <w:rStyle w:val="Ninguno"/>
          <w:b/>
          <w:bCs/>
        </w:rPr>
        <w:t xml:space="preserve"> se producen aumentos en </w:t>
      </w:r>
      <w:r w:rsidR="002C6B07">
        <w:rPr>
          <w:rStyle w:val="Ninguno"/>
          <w:b/>
          <w:bCs/>
        </w:rPr>
        <w:t>todas</w:t>
      </w:r>
      <w:r>
        <w:rPr>
          <w:rStyle w:val="Ninguno"/>
          <w:b/>
          <w:bCs/>
        </w:rPr>
        <w:t xml:space="preserve"> las Comunidades y Ciudades Autónomas</w:t>
      </w:r>
      <w:r w:rsidR="002C6B07">
        <w:rPr>
          <w:rStyle w:val="Ninguno"/>
          <w:b/>
          <w:bCs/>
        </w:rPr>
        <w:t>, sin excepción</w:t>
      </w:r>
      <w:r>
        <w:rPr>
          <w:rStyle w:val="Ninguno"/>
          <w:b/>
          <w:bCs/>
        </w:rPr>
        <w:t>.</w:t>
      </w:r>
    </w:p>
    <w:p w14:paraId="4BAC477A" w14:textId="77777777" w:rsidR="00C829A4" w:rsidRDefault="00C829A4">
      <w:pPr>
        <w:pStyle w:val="Cuerpo"/>
        <w:jc w:val="both"/>
        <w:rPr>
          <w:rStyle w:val="Ninguno"/>
          <w:b/>
          <w:bCs/>
        </w:rPr>
      </w:pPr>
    </w:p>
    <w:p w14:paraId="2B3EFB8C" w14:textId="77777777" w:rsidR="00C829A4" w:rsidRDefault="00912383">
      <w:pPr>
        <w:pStyle w:val="Cuerpo"/>
        <w:jc w:val="both"/>
      </w:pPr>
      <w:r>
        <w:rPr>
          <w:lang w:val="es-ES_tradnl"/>
        </w:rPr>
        <w:t>El</w:t>
      </w:r>
      <w:r w:rsidR="00462B93">
        <w:rPr>
          <w:lang w:val="es-ES_tradnl"/>
        </w:rPr>
        <w:t xml:space="preserve"> aumento</w:t>
      </w:r>
      <w:r w:rsidR="00A773ED">
        <w:rPr>
          <w:lang w:val="es-ES_tradnl"/>
        </w:rPr>
        <w:t xml:space="preserve"> m</w:t>
      </w:r>
      <w:r w:rsidR="00A773ED">
        <w:t>á</w:t>
      </w:r>
      <w:r>
        <w:rPr>
          <w:lang w:val="es-ES_tradnl"/>
        </w:rPr>
        <w:t xml:space="preserve">s significativo es el de Baleares </w:t>
      </w:r>
      <w:r w:rsidR="00462B93">
        <w:rPr>
          <w:lang w:val="es-ES_tradnl"/>
        </w:rPr>
        <w:t>(</w:t>
      </w:r>
      <w:r>
        <w:rPr>
          <w:lang w:val="es-ES_tradnl"/>
        </w:rPr>
        <w:t>+</w:t>
      </w:r>
      <w:r w:rsidR="002C6B07">
        <w:rPr>
          <w:lang w:val="es-ES_tradnl"/>
        </w:rPr>
        <w:t>8,39</w:t>
      </w:r>
      <w:r>
        <w:rPr>
          <w:lang w:val="es-ES_tradnl"/>
        </w:rPr>
        <w:t>%</w:t>
      </w:r>
      <w:r w:rsidR="00462B93">
        <w:rPr>
          <w:lang w:val="es-ES_tradnl"/>
        </w:rPr>
        <w:t>)</w:t>
      </w:r>
      <w:r w:rsidR="00A773ED">
        <w:rPr>
          <w:lang w:val="es-ES_tradnl"/>
        </w:rPr>
        <w:t xml:space="preserve">, </w:t>
      </w:r>
      <w:proofErr w:type="spellStart"/>
      <w:r w:rsidR="00A773ED">
        <w:rPr>
          <w:lang w:val="es-ES_tradnl"/>
        </w:rPr>
        <w:t>adem</w:t>
      </w:r>
      <w:proofErr w:type="spellEnd"/>
      <w:r w:rsidR="00A773ED">
        <w:t>á</w:t>
      </w:r>
      <w:r w:rsidR="00A773ED">
        <w:rPr>
          <w:lang w:val="es-ES_tradnl"/>
        </w:rPr>
        <w:t xml:space="preserve">s de </w:t>
      </w:r>
      <w:r w:rsidR="002C6B07">
        <w:rPr>
          <w:lang w:val="es-ES_tradnl"/>
        </w:rPr>
        <w:t>Melilla</w:t>
      </w:r>
      <w:r>
        <w:rPr>
          <w:lang w:val="es-ES_tradnl"/>
        </w:rPr>
        <w:t xml:space="preserve"> </w:t>
      </w:r>
      <w:r w:rsidR="00462B93">
        <w:rPr>
          <w:lang w:val="es-ES_tradnl"/>
        </w:rPr>
        <w:t>(</w:t>
      </w:r>
      <w:r>
        <w:rPr>
          <w:lang w:val="es-ES_tradnl"/>
        </w:rPr>
        <w:t>+</w:t>
      </w:r>
      <w:r w:rsidR="002C6B07">
        <w:rPr>
          <w:lang w:val="es-ES_tradnl"/>
        </w:rPr>
        <w:t>9,45</w:t>
      </w:r>
      <w:r w:rsidR="00462B93">
        <w:rPr>
          <w:lang w:val="es-ES_tradnl"/>
        </w:rPr>
        <w:t>)</w:t>
      </w:r>
      <w:r w:rsidR="00A773ED">
        <w:rPr>
          <w:lang w:val="es-ES_tradnl"/>
        </w:rPr>
        <w:t xml:space="preserve">. </w:t>
      </w:r>
      <w:r w:rsidR="002C6B07">
        <w:rPr>
          <w:lang w:val="es-ES_tradnl"/>
        </w:rPr>
        <w:t>Los menores aumentos se producen en la Comunidad Valenciana (+3,64) y en Ceuta (+3,66%). El resto de las Comunidades oscilan entre el 4 y el 8%</w:t>
      </w:r>
      <w:r w:rsidR="00532D1D">
        <w:rPr>
          <w:lang w:val="es-ES_tradnl"/>
        </w:rPr>
        <w:t>.</w:t>
      </w:r>
    </w:p>
    <w:p w14:paraId="2A44F6BD" w14:textId="77777777" w:rsidR="00C829A4" w:rsidRDefault="00C829A4">
      <w:pPr>
        <w:pStyle w:val="Cuerpo"/>
        <w:jc w:val="both"/>
      </w:pPr>
    </w:p>
    <w:p w14:paraId="32BA7213" w14:textId="77777777" w:rsidR="00C829A4" w:rsidRDefault="00A773ED">
      <w:pPr>
        <w:pStyle w:val="Cuerpo"/>
        <w:jc w:val="both"/>
      </w:pPr>
      <w:r>
        <w:rPr>
          <w:lang w:val="es-ES_tradnl"/>
        </w:rPr>
        <w:t xml:space="preserve">En conjunto este mes de </w:t>
      </w:r>
      <w:proofErr w:type="gramStart"/>
      <w:r w:rsidR="00E62931">
        <w:rPr>
          <w:lang w:val="es-ES_tradnl"/>
        </w:rPr>
        <w:t>Octubre</w:t>
      </w:r>
      <w:proofErr w:type="gramEnd"/>
      <w:r>
        <w:rPr>
          <w:lang w:val="es-ES_tradnl"/>
        </w:rPr>
        <w:t xml:space="preserve"> muestra una imagen de </w:t>
      </w:r>
      <w:r w:rsidR="002C6B07">
        <w:rPr>
          <w:lang w:val="es-ES_tradnl"/>
        </w:rPr>
        <w:t>crecimiento</w:t>
      </w:r>
      <w:r>
        <w:rPr>
          <w:lang w:val="es-ES_tradnl"/>
        </w:rPr>
        <w:t xml:space="preserve"> en las ventas, respecto al mismo mes del </w:t>
      </w:r>
      <w:proofErr w:type="spellStart"/>
      <w:r>
        <w:rPr>
          <w:lang w:val="es-ES_tradnl"/>
        </w:rPr>
        <w:t>añ</w:t>
      </w:r>
      <w:proofErr w:type="spellEnd"/>
      <w:r>
        <w:rPr>
          <w:lang w:val="pt-PT"/>
        </w:rPr>
        <w:t>o anterior.</w:t>
      </w:r>
    </w:p>
    <w:p w14:paraId="35B70C55" w14:textId="77777777" w:rsidR="00C829A4" w:rsidRDefault="00C829A4">
      <w:pPr>
        <w:pStyle w:val="Cuerpo"/>
        <w:jc w:val="both"/>
      </w:pPr>
    </w:p>
    <w:p w14:paraId="4A60F304" w14:textId="77777777" w:rsidR="00C829A4" w:rsidRDefault="00784443">
      <w:pPr>
        <w:pStyle w:val="Cuerpo"/>
        <w:jc w:val="center"/>
      </w:pPr>
      <w:r>
        <w:rPr>
          <w:noProof/>
          <w:lang w:val="es-ES_tradnl" w:eastAsia="es-ES_tradnl"/>
        </w:rPr>
        <w:drawing>
          <wp:inline distT="0" distB="0" distL="0" distR="0" wp14:anchorId="75DDA443" wp14:editId="52F38FC8">
            <wp:extent cx="5629620" cy="59601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8165" cy="5969172"/>
                    </a:xfrm>
                    <a:prstGeom prst="rect">
                      <a:avLst/>
                    </a:prstGeom>
                    <a:noFill/>
                  </pic:spPr>
                </pic:pic>
              </a:graphicData>
            </a:graphic>
          </wp:inline>
        </w:drawing>
      </w:r>
    </w:p>
    <w:p w14:paraId="0457CE01" w14:textId="77777777" w:rsidR="0051693D" w:rsidRDefault="0051693D">
      <w:pPr>
        <w:pStyle w:val="Cuerpo"/>
        <w:jc w:val="both"/>
        <w:rPr>
          <w:rStyle w:val="Ninguno"/>
          <w:rFonts w:ascii="Arial Black" w:hAnsi="Arial Black"/>
          <w:color w:val="31849B"/>
          <w:sz w:val="26"/>
          <w:szCs w:val="26"/>
          <w:u w:color="31849B"/>
        </w:rPr>
      </w:pPr>
    </w:p>
    <w:p w14:paraId="37869EE8" w14:textId="77777777" w:rsidR="00C829A4" w:rsidRDefault="00A773ED">
      <w:pPr>
        <w:pStyle w:val="Cuerpo"/>
        <w:jc w:val="both"/>
        <w:rPr>
          <w:rStyle w:val="Ninguno"/>
          <w:rFonts w:ascii="Arial Black" w:eastAsia="Arial Black" w:hAnsi="Arial Black" w:cs="Arial Black"/>
          <w:color w:val="008080"/>
          <w:sz w:val="26"/>
          <w:szCs w:val="26"/>
          <w:u w:color="008080"/>
        </w:rPr>
      </w:pPr>
      <w:r>
        <w:rPr>
          <w:rStyle w:val="Ninguno"/>
          <w:rFonts w:ascii="Arial Black" w:hAnsi="Arial Black"/>
          <w:color w:val="31849B"/>
          <w:sz w:val="26"/>
          <w:szCs w:val="26"/>
          <w:u w:color="31849B"/>
        </w:rPr>
        <w:lastRenderedPageBreak/>
        <w:t xml:space="preserve">Comparación </w:t>
      </w:r>
      <w:r>
        <w:rPr>
          <w:rStyle w:val="Ninguno"/>
          <w:rFonts w:ascii="Arial Black" w:hAnsi="Arial Black"/>
          <w:color w:val="008080"/>
          <w:sz w:val="26"/>
          <w:szCs w:val="26"/>
          <w:u w:color="008080"/>
        </w:rPr>
        <w:t>del gasto respecto al mes anterior por CC.AA.</w:t>
      </w:r>
    </w:p>
    <w:p w14:paraId="428AFA01" w14:textId="77777777" w:rsidR="00C829A4" w:rsidRDefault="00C829A4">
      <w:pPr>
        <w:pStyle w:val="Cuerpo"/>
      </w:pPr>
    </w:p>
    <w:p w14:paraId="68A5DC64" w14:textId="77777777" w:rsidR="00204B6F" w:rsidRDefault="00A773ED">
      <w:pPr>
        <w:pStyle w:val="Cuerpo"/>
        <w:jc w:val="both"/>
        <w:rPr>
          <w:rStyle w:val="Ninguno"/>
          <w:b/>
          <w:bCs/>
        </w:rPr>
      </w:pPr>
      <w:r>
        <w:rPr>
          <w:lang w:val="es-ES_tradnl"/>
        </w:rPr>
        <w:t xml:space="preserve">Si hacemos la media de los dos </w:t>
      </w:r>
      <w:r>
        <w:t>ú</w:t>
      </w:r>
      <w:proofErr w:type="spellStart"/>
      <w:r>
        <w:rPr>
          <w:lang w:val="es-ES_tradnl"/>
        </w:rPr>
        <w:t>ltimos</w:t>
      </w:r>
      <w:proofErr w:type="spellEnd"/>
      <w:r>
        <w:rPr>
          <w:lang w:val="es-ES_tradnl"/>
        </w:rPr>
        <w:t xml:space="preserve"> meses para evitar el </w:t>
      </w:r>
      <w:r>
        <w:t>“</w:t>
      </w:r>
      <w:r>
        <w:rPr>
          <w:lang w:val="es-ES_tradnl"/>
        </w:rPr>
        <w:t>efecto calendario</w:t>
      </w:r>
      <w:r>
        <w:t>”</w:t>
      </w:r>
      <w:r>
        <w:rPr>
          <w:lang w:val="es-ES_tradnl"/>
        </w:rPr>
        <w:t>, comparando en cada Comunidad Autónoma el incremento</w:t>
      </w:r>
      <w:r w:rsidR="00462B93">
        <w:rPr>
          <w:lang w:val="es-ES_tradnl"/>
        </w:rPr>
        <w:t xml:space="preserve"> </w:t>
      </w:r>
      <w:r w:rsidR="00532D1D">
        <w:rPr>
          <w:lang w:val="es-ES_tradnl"/>
        </w:rPr>
        <w:t>del gasto en los meses de septiembre</w:t>
      </w:r>
      <w:r>
        <w:rPr>
          <w:lang w:val="es-ES_tradnl"/>
        </w:rPr>
        <w:t xml:space="preserve"> y </w:t>
      </w:r>
      <w:r w:rsidR="00E62931">
        <w:rPr>
          <w:lang w:val="es-ES_tradnl"/>
        </w:rPr>
        <w:t>octubre</w:t>
      </w:r>
      <w:r>
        <w:rPr>
          <w:lang w:val="es-ES_tradnl"/>
        </w:rPr>
        <w:t xml:space="preserve">, respecto a los mismos meses del </w:t>
      </w:r>
      <w:proofErr w:type="spellStart"/>
      <w:r>
        <w:rPr>
          <w:lang w:val="es-ES_tradnl"/>
        </w:rPr>
        <w:t>añ</w:t>
      </w:r>
      <w:proofErr w:type="spellEnd"/>
      <w:r>
        <w:rPr>
          <w:lang w:val="pt-PT"/>
        </w:rPr>
        <w:t xml:space="preserve">o anterior, se observa que </w:t>
      </w:r>
      <w:r>
        <w:rPr>
          <w:rStyle w:val="Ninguno"/>
          <w:b/>
          <w:bCs/>
        </w:rPr>
        <w:t xml:space="preserve">se producen </w:t>
      </w:r>
      <w:r w:rsidR="002D0FF2">
        <w:rPr>
          <w:rStyle w:val="Ninguno"/>
          <w:b/>
          <w:bCs/>
        </w:rPr>
        <w:t xml:space="preserve">aumentos en todas las </w:t>
      </w:r>
      <w:r>
        <w:rPr>
          <w:rStyle w:val="Ninguno"/>
          <w:b/>
          <w:bCs/>
        </w:rPr>
        <w:t xml:space="preserve">Comunidades y Ciudades Autónomas excepto en </w:t>
      </w:r>
      <w:r w:rsidR="002D0FF2">
        <w:rPr>
          <w:rStyle w:val="Ninguno"/>
          <w:b/>
          <w:bCs/>
        </w:rPr>
        <w:t xml:space="preserve">Ceuta. </w:t>
      </w:r>
    </w:p>
    <w:p w14:paraId="3E04D4F9" w14:textId="77777777" w:rsidR="00204B6F" w:rsidRDefault="00204B6F">
      <w:pPr>
        <w:pStyle w:val="Cuerpo"/>
        <w:jc w:val="both"/>
        <w:rPr>
          <w:rStyle w:val="Ninguno"/>
          <w:b/>
          <w:bCs/>
        </w:rPr>
      </w:pPr>
    </w:p>
    <w:p w14:paraId="5A6B3CD5" w14:textId="77777777" w:rsidR="00C829A4" w:rsidRDefault="002D0FF2">
      <w:pPr>
        <w:pStyle w:val="Cuerpo"/>
        <w:jc w:val="both"/>
        <w:rPr>
          <w:rStyle w:val="Ninguno"/>
          <w:b/>
          <w:bCs/>
        </w:rPr>
      </w:pPr>
      <w:r>
        <w:rPr>
          <w:rStyle w:val="Ninguno"/>
          <w:b/>
          <w:bCs/>
        </w:rPr>
        <w:t xml:space="preserve">Sin </w:t>
      </w:r>
      <w:proofErr w:type="gramStart"/>
      <w:r>
        <w:rPr>
          <w:rStyle w:val="Ninguno"/>
          <w:b/>
          <w:bCs/>
        </w:rPr>
        <w:t>embargo</w:t>
      </w:r>
      <w:proofErr w:type="gramEnd"/>
      <w:r>
        <w:rPr>
          <w:rStyle w:val="Ninguno"/>
          <w:b/>
          <w:bCs/>
        </w:rPr>
        <w:t xml:space="preserve"> la imagen de crecimiento que presenta el mes de octubre tiene poca influencia en el crecimiento anual de las oficinas de farmacia que sigue siendo muy moderado</w:t>
      </w:r>
      <w:r w:rsidR="00A773ED">
        <w:rPr>
          <w:rStyle w:val="Ninguno"/>
          <w:b/>
          <w:bCs/>
        </w:rPr>
        <w:t xml:space="preserve">. </w:t>
      </w:r>
    </w:p>
    <w:p w14:paraId="5F099231" w14:textId="77777777" w:rsidR="00C829A4" w:rsidRDefault="00C829A4">
      <w:pPr>
        <w:pStyle w:val="Cuerpo"/>
        <w:jc w:val="both"/>
        <w:rPr>
          <w:rStyle w:val="Ninguno"/>
          <w:b/>
          <w:bCs/>
        </w:rPr>
      </w:pPr>
    </w:p>
    <w:p w14:paraId="0D3A4156" w14:textId="77777777" w:rsidR="00C829A4" w:rsidRDefault="00784443">
      <w:pPr>
        <w:pStyle w:val="Encabezado"/>
        <w:tabs>
          <w:tab w:val="clear" w:pos="8838"/>
          <w:tab w:val="right" w:pos="8818"/>
        </w:tabs>
        <w:jc w:val="both"/>
      </w:pPr>
      <w:r>
        <w:rPr>
          <w:noProof/>
          <w:lang w:eastAsia="es-ES_tradnl"/>
        </w:rPr>
        <w:drawing>
          <wp:inline distT="0" distB="0" distL="0" distR="0" wp14:anchorId="64DFC5CB" wp14:editId="77B3EA4A">
            <wp:extent cx="5640636" cy="612537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8165" cy="6122696"/>
                    </a:xfrm>
                    <a:prstGeom prst="rect">
                      <a:avLst/>
                    </a:prstGeom>
                    <a:noFill/>
                  </pic:spPr>
                </pic:pic>
              </a:graphicData>
            </a:graphic>
          </wp:inline>
        </w:drawing>
      </w:r>
    </w:p>
    <w:p w14:paraId="0EE94A6D" w14:textId="77777777" w:rsidR="00C829A4" w:rsidRDefault="00C829A4">
      <w:pPr>
        <w:pStyle w:val="Encabezado"/>
        <w:tabs>
          <w:tab w:val="clear" w:pos="8838"/>
          <w:tab w:val="right" w:pos="8818"/>
        </w:tabs>
        <w:jc w:val="center"/>
      </w:pPr>
    </w:p>
    <w:p w14:paraId="26D8E455" w14:textId="77777777" w:rsidR="00C829A4" w:rsidRDefault="00A773E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lastRenderedPageBreak/>
        <w:t xml:space="preserve">Análisis de la demanda de medicamentos </w:t>
      </w:r>
    </w:p>
    <w:p w14:paraId="69BC5536" w14:textId="77777777" w:rsidR="00C829A4" w:rsidRDefault="00C829A4">
      <w:pPr>
        <w:pStyle w:val="Cuerpo"/>
        <w:jc w:val="both"/>
        <w:rPr>
          <w:rStyle w:val="Ninguno"/>
          <w:color w:val="008080"/>
          <w:sz w:val="22"/>
          <w:szCs w:val="22"/>
          <w:u w:color="008080"/>
        </w:rPr>
      </w:pPr>
    </w:p>
    <w:p w14:paraId="791DEBA1" w14:textId="77777777" w:rsidR="00C829A4" w:rsidRDefault="00A773ED">
      <w:pPr>
        <w:pStyle w:val="Cuerpo"/>
        <w:jc w:val="both"/>
        <w:rPr>
          <w:rStyle w:val="Ninguno"/>
          <w:b/>
          <w:bCs/>
        </w:rPr>
      </w:pPr>
      <w:r>
        <w:rPr>
          <w:rStyle w:val="Ninguno"/>
          <w:b/>
          <w:bCs/>
        </w:rPr>
        <w:t>El efecto disuasorio del copago se encuentra en los meses anteriores en una fase de recuperación, un hecho que como ya apuntamos en su momento, tendría una duración limitada en el tiempo, en</w:t>
      </w:r>
      <w:r w:rsidR="002D0FF2">
        <w:rPr>
          <w:rStyle w:val="Ninguno"/>
          <w:b/>
          <w:bCs/>
        </w:rPr>
        <w:t xml:space="preserve"> este mes experimenta un sensible aumento de</w:t>
      </w:r>
      <w:r>
        <w:rPr>
          <w:rStyle w:val="Ninguno"/>
          <w:b/>
          <w:bCs/>
        </w:rPr>
        <w:t xml:space="preserve"> la demanda de recetas.</w:t>
      </w:r>
    </w:p>
    <w:p w14:paraId="0BE578BA" w14:textId="77777777" w:rsidR="00C829A4" w:rsidRDefault="00C829A4">
      <w:pPr>
        <w:pStyle w:val="Cuerpo"/>
        <w:jc w:val="both"/>
        <w:rPr>
          <w:rStyle w:val="Ninguno"/>
          <w:rFonts w:ascii="Verdana" w:eastAsia="Verdana" w:hAnsi="Verdana" w:cs="Verdana"/>
        </w:rPr>
      </w:pPr>
    </w:p>
    <w:p w14:paraId="7D552725" w14:textId="77777777" w:rsidR="00C829A4" w:rsidRDefault="00A773ED">
      <w:pPr>
        <w:pStyle w:val="Cuerpo"/>
        <w:jc w:val="both"/>
      </w:pPr>
      <w:r>
        <w:rPr>
          <w:lang w:val="es-ES_tradnl"/>
        </w:rPr>
        <w:t>La evolución del consumo de recetas, respecto al mismo mes del año anterior es la que aparece en el gr</w:t>
      </w:r>
      <w:r>
        <w:t>á</w:t>
      </w:r>
      <w:proofErr w:type="spellStart"/>
      <w:r>
        <w:rPr>
          <w:lang w:val="es-ES_tradnl"/>
        </w:rPr>
        <w:t>fico</w:t>
      </w:r>
      <w:proofErr w:type="spellEnd"/>
      <w:r>
        <w:rPr>
          <w:lang w:val="es-ES_tradnl"/>
        </w:rPr>
        <w:t xml:space="preserve"> siguiente. Nos encontramos en la primera parte del año 2017 en un proceso de aumento en el n</w:t>
      </w:r>
      <w:r>
        <w:t>ú</w:t>
      </w:r>
      <w:r>
        <w:rPr>
          <w:lang w:val="es-ES_tradnl"/>
        </w:rPr>
        <w:t xml:space="preserve">mero de recetas, algo que se acredita actualmente en el acumulado interanual, ya que se produce un aumento de </w:t>
      </w:r>
      <w:r w:rsidR="002D0FF2">
        <w:rPr>
          <w:lang w:val="es-ES_tradnl"/>
        </w:rPr>
        <w:t>11,5</w:t>
      </w:r>
      <w:r>
        <w:rPr>
          <w:lang w:val="es-ES_tradnl"/>
        </w:rPr>
        <w:t xml:space="preserve"> millones de recetas.</w:t>
      </w:r>
    </w:p>
    <w:p w14:paraId="46CBC3C2" w14:textId="77777777" w:rsidR="00C829A4" w:rsidRDefault="00C829A4">
      <w:pPr>
        <w:pStyle w:val="Cuerpo"/>
        <w:jc w:val="both"/>
        <w:rPr>
          <w:sz w:val="20"/>
          <w:szCs w:val="20"/>
        </w:rPr>
      </w:pPr>
    </w:p>
    <w:p w14:paraId="1221B322" w14:textId="77777777" w:rsidR="00C829A4" w:rsidRDefault="00C829A4">
      <w:pPr>
        <w:pStyle w:val="Cuerpo"/>
        <w:jc w:val="center"/>
        <w:rPr>
          <w:sz w:val="20"/>
          <w:szCs w:val="20"/>
        </w:rPr>
      </w:pPr>
    </w:p>
    <w:p w14:paraId="31E1E808" w14:textId="77777777" w:rsidR="00C829A4" w:rsidRDefault="00784443">
      <w:pPr>
        <w:pStyle w:val="Cuerpo"/>
        <w:jc w:val="center"/>
        <w:rPr>
          <w:rStyle w:val="Ninguno"/>
          <w:sz w:val="22"/>
          <w:szCs w:val="22"/>
        </w:rPr>
      </w:pPr>
      <w:r>
        <w:rPr>
          <w:noProof/>
          <w:sz w:val="22"/>
          <w:szCs w:val="22"/>
          <w:lang w:val="es-ES_tradnl" w:eastAsia="es-ES_tradnl"/>
        </w:rPr>
        <w:drawing>
          <wp:inline distT="0" distB="0" distL="0" distR="0" wp14:anchorId="4C300827" wp14:editId="69B58FF7">
            <wp:extent cx="4603115" cy="318262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3115" cy="3182620"/>
                    </a:xfrm>
                    <a:prstGeom prst="rect">
                      <a:avLst/>
                    </a:prstGeom>
                    <a:noFill/>
                  </pic:spPr>
                </pic:pic>
              </a:graphicData>
            </a:graphic>
          </wp:inline>
        </w:drawing>
      </w:r>
    </w:p>
    <w:p w14:paraId="428F5C17" w14:textId="77777777" w:rsidR="00C829A4" w:rsidRDefault="00C829A4">
      <w:pPr>
        <w:pStyle w:val="Cuerpo"/>
        <w:jc w:val="both"/>
        <w:rPr>
          <w:sz w:val="22"/>
          <w:szCs w:val="22"/>
        </w:rPr>
      </w:pPr>
    </w:p>
    <w:p w14:paraId="10CCA863" w14:textId="77777777" w:rsidR="00C829A4" w:rsidRDefault="00C829A4">
      <w:pPr>
        <w:pStyle w:val="Cuerpo"/>
        <w:jc w:val="both"/>
        <w:rPr>
          <w:sz w:val="22"/>
          <w:szCs w:val="22"/>
        </w:rPr>
      </w:pPr>
    </w:p>
    <w:p w14:paraId="1664A320" w14:textId="77777777" w:rsidR="00C829A4" w:rsidRDefault="00A773ED">
      <w:pPr>
        <w:pStyle w:val="Cuerpo"/>
        <w:jc w:val="both"/>
        <w:rPr>
          <w:rStyle w:val="Ninguno"/>
          <w:b/>
          <w:bCs/>
        </w:rPr>
      </w:pPr>
      <w:r>
        <w:rPr>
          <w:lang w:val="es-ES_tradnl"/>
        </w:rPr>
        <w:t xml:space="preserve">Aunque no se han proporcionado datos globales de la </w:t>
      </w:r>
      <w:proofErr w:type="spellStart"/>
      <w:r>
        <w:rPr>
          <w:lang w:val="es-ES_tradnl"/>
        </w:rPr>
        <w:t>cuant</w:t>
      </w:r>
      <w:proofErr w:type="spellEnd"/>
      <w:r>
        <w:t>í</w:t>
      </w:r>
      <w:r>
        <w:rPr>
          <w:lang w:val="es-ES_tradnl"/>
        </w:rPr>
        <w:t>a que hay que atribuir al ahorro de la nueva aportación de los beneficiarios, existen datos procedentes de la facturación de recetas que indican que el porcentaje de aportación ha pasado del 6% a algo m</w:t>
      </w:r>
      <w:r>
        <w:t>á</w:t>
      </w:r>
      <w:r>
        <w:rPr>
          <w:lang w:val="pt-PT"/>
        </w:rPr>
        <w:t xml:space="preserve">s de 9%, </w:t>
      </w:r>
      <w:r>
        <w:rPr>
          <w:rStyle w:val="Ninguno"/>
          <w:b/>
          <w:bCs/>
        </w:rPr>
        <w:t>por lo que la cuantía del ahorro debido exclusivamente a la cantidad pagada por los usuarios y no pagada por el Sistema Nacional de Salud estaría en torno a la mitad de todo el descenso del gasto desde que se implantó el copago a los pensionistas.</w:t>
      </w:r>
    </w:p>
    <w:p w14:paraId="2DD2CF34" w14:textId="77777777" w:rsidR="00C829A4" w:rsidRDefault="00C829A4">
      <w:pPr>
        <w:pStyle w:val="Cuerpo"/>
        <w:jc w:val="both"/>
        <w:rPr>
          <w:rStyle w:val="Ninguno"/>
          <w:b/>
          <w:bCs/>
        </w:rPr>
      </w:pPr>
    </w:p>
    <w:p w14:paraId="0B63C9CC" w14:textId="77777777" w:rsidR="00C829A4" w:rsidRDefault="002D0FF2" w:rsidP="00915F39">
      <w:pPr>
        <w:pStyle w:val="Cuerpo"/>
        <w:shd w:val="clear" w:color="auto" w:fill="B6DDE8" w:themeFill="accent5" w:themeFillTint="66"/>
        <w:jc w:val="both"/>
        <w:rPr>
          <w:rStyle w:val="Ninguno"/>
          <w:b/>
          <w:bCs/>
        </w:rPr>
      </w:pPr>
      <w:r>
        <w:rPr>
          <w:rStyle w:val="Ninguno"/>
          <w:b/>
          <w:bCs/>
        </w:rPr>
        <w:t xml:space="preserve">Es posible que el número de recetas consumidas esté próximo a llegar a los límites del año 2011, si se tiene en cuenta la </w:t>
      </w:r>
      <w:proofErr w:type="spellStart"/>
      <w:r>
        <w:rPr>
          <w:rStyle w:val="Ninguno"/>
          <w:b/>
          <w:bCs/>
        </w:rPr>
        <w:t>desfinanciación</w:t>
      </w:r>
      <w:proofErr w:type="spellEnd"/>
      <w:r>
        <w:rPr>
          <w:rStyle w:val="Ninguno"/>
          <w:b/>
          <w:bCs/>
        </w:rPr>
        <w:t xml:space="preserve"> que se produjo de casi 500 medicamentos en el mes de agosto de ese año y que ahora se venden fuera del sistema</w:t>
      </w:r>
      <w:r w:rsidR="00A773ED">
        <w:rPr>
          <w:rStyle w:val="Ninguno"/>
          <w:b/>
          <w:bCs/>
        </w:rPr>
        <w:t>.</w:t>
      </w:r>
    </w:p>
    <w:p w14:paraId="0E414AAA" w14:textId="77777777" w:rsidR="00C829A4" w:rsidRDefault="00C829A4">
      <w:pPr>
        <w:pStyle w:val="Cuerpo"/>
        <w:jc w:val="both"/>
      </w:pPr>
    </w:p>
    <w:p w14:paraId="79DA0E08" w14:textId="77777777" w:rsidR="008C235E" w:rsidRDefault="008C235E">
      <w:pPr>
        <w:pStyle w:val="Cuerpo"/>
        <w:jc w:val="both"/>
        <w:rPr>
          <w:rStyle w:val="Ninguno"/>
          <w:rFonts w:ascii="Arial Black" w:hAnsi="Arial Black"/>
          <w:color w:val="008080"/>
          <w:sz w:val="28"/>
          <w:szCs w:val="28"/>
          <w:u w:color="008080"/>
        </w:rPr>
      </w:pPr>
      <w:bookmarkStart w:id="1" w:name="OLE_LINK1"/>
      <w:r>
        <w:rPr>
          <w:rStyle w:val="Ninguno"/>
          <w:rFonts w:ascii="Arial Black" w:hAnsi="Arial Black"/>
          <w:color w:val="008080"/>
          <w:sz w:val="28"/>
          <w:szCs w:val="28"/>
          <w:u w:color="008080"/>
        </w:rPr>
        <w:lastRenderedPageBreak/>
        <w:t>Consumo de medicamentos por hospitales</w:t>
      </w:r>
      <w:bookmarkEnd w:id="1"/>
    </w:p>
    <w:p w14:paraId="3D59448A" w14:textId="77777777" w:rsidR="008C235E" w:rsidRDefault="008C235E">
      <w:pPr>
        <w:pStyle w:val="Cuerpo"/>
        <w:jc w:val="both"/>
        <w:rPr>
          <w:rStyle w:val="Ninguno"/>
          <w:rFonts w:ascii="Arial Black" w:hAnsi="Arial Black"/>
          <w:color w:val="008080"/>
          <w:sz w:val="28"/>
          <w:szCs w:val="28"/>
          <w:u w:color="008080"/>
        </w:rPr>
      </w:pPr>
    </w:p>
    <w:p w14:paraId="24A730E2" w14:textId="77777777" w:rsidR="008C235E" w:rsidRDefault="003C686F">
      <w:pPr>
        <w:pStyle w:val="Cuerpo"/>
        <w:jc w:val="both"/>
        <w:rPr>
          <w:rStyle w:val="Ninguno"/>
          <w:color w:val="auto"/>
          <w:u w:color="008080"/>
        </w:rPr>
      </w:pPr>
      <w:r>
        <w:rPr>
          <w:rStyle w:val="Ninguno"/>
          <w:color w:val="auto"/>
          <w:u w:color="008080"/>
        </w:rPr>
        <w:t xml:space="preserve">Por primera vez el Ministerio de Sanidad, Servicios Sociales e Igualdad ha publicado datos del consumo </w:t>
      </w:r>
      <w:r w:rsidR="00053930">
        <w:rPr>
          <w:rStyle w:val="Ninguno"/>
          <w:color w:val="auto"/>
          <w:u w:color="008080"/>
        </w:rPr>
        <w:t xml:space="preserve">de medicamentos </w:t>
      </w:r>
      <w:r>
        <w:rPr>
          <w:rStyle w:val="Ninguno"/>
          <w:color w:val="auto"/>
          <w:u w:color="008080"/>
        </w:rPr>
        <w:t>en hospitales, referidos al periodo enero-abril de 2017.</w:t>
      </w:r>
    </w:p>
    <w:p w14:paraId="3D0B2445" w14:textId="77777777" w:rsidR="003C686F" w:rsidRDefault="003C686F">
      <w:pPr>
        <w:pStyle w:val="Cuerpo"/>
        <w:jc w:val="both"/>
        <w:rPr>
          <w:rStyle w:val="Ninguno"/>
          <w:color w:val="auto"/>
          <w:u w:color="008080"/>
        </w:rPr>
      </w:pPr>
    </w:p>
    <w:p w14:paraId="6F7B408F" w14:textId="77777777" w:rsidR="003C686F" w:rsidRDefault="003C686F">
      <w:pPr>
        <w:pStyle w:val="Cuerpo"/>
        <w:jc w:val="both"/>
        <w:rPr>
          <w:rStyle w:val="Ninguno"/>
          <w:color w:val="auto"/>
          <w:u w:color="008080"/>
        </w:rPr>
      </w:pPr>
      <w:r>
        <w:rPr>
          <w:rStyle w:val="Ninguno"/>
          <w:color w:val="auto"/>
          <w:u w:color="008080"/>
        </w:rPr>
        <w:t>Estos datos no coinciden con lo que venía suministrando el Ministerio de Hacienda y Administraciones Públicas sobre el pago de estos medicamentos. Y nos atrevemos a decir que no tienen por</w:t>
      </w:r>
      <w:r w:rsidR="00053930">
        <w:rPr>
          <w:rStyle w:val="Ninguno"/>
          <w:color w:val="auto"/>
          <w:u w:color="008080"/>
        </w:rPr>
        <w:t xml:space="preserve"> </w:t>
      </w:r>
      <w:r>
        <w:rPr>
          <w:rStyle w:val="Ninguno"/>
          <w:color w:val="auto"/>
          <w:u w:color="008080"/>
        </w:rPr>
        <w:t xml:space="preserve">qué coincidir </w:t>
      </w:r>
      <w:r w:rsidR="00053930">
        <w:rPr>
          <w:rStyle w:val="Ninguno"/>
          <w:color w:val="auto"/>
          <w:u w:color="008080"/>
        </w:rPr>
        <w:t>nunca, ya que unos se refieren a las compras y los otros a los pagos, algo que se produce en todos los insumos de la Administración.</w:t>
      </w:r>
    </w:p>
    <w:p w14:paraId="66689174" w14:textId="77777777" w:rsidR="00053930" w:rsidRDefault="00053930">
      <w:pPr>
        <w:pStyle w:val="Cuerpo"/>
        <w:jc w:val="both"/>
        <w:rPr>
          <w:rStyle w:val="Ninguno"/>
          <w:color w:val="auto"/>
          <w:u w:color="008080"/>
        </w:rPr>
      </w:pPr>
    </w:p>
    <w:p w14:paraId="54A0F15F" w14:textId="77777777" w:rsidR="00053930" w:rsidRDefault="00053930">
      <w:pPr>
        <w:pStyle w:val="Cuerpo"/>
        <w:jc w:val="both"/>
        <w:rPr>
          <w:rStyle w:val="Ninguno"/>
          <w:color w:val="auto"/>
          <w:u w:color="008080"/>
        </w:rPr>
      </w:pPr>
      <w:r>
        <w:rPr>
          <w:rStyle w:val="Ninguno"/>
          <w:color w:val="auto"/>
          <w:u w:color="008080"/>
        </w:rPr>
        <w:t>Otra cuestión es que los datos todavía no son homogéneos ya que, por ejemplo, los referidos a Cataluña, solo reflejan el consumo de medicamentos por los hospitales, referidos exclusivamente a los pacientes externos y no contemplan el consumo de los pacientes ingresados, cuestión que habrá que ir corrigiendo en el futuro.</w:t>
      </w:r>
    </w:p>
    <w:p w14:paraId="3D58A85F" w14:textId="77777777" w:rsidR="00053930" w:rsidRDefault="00053930">
      <w:pPr>
        <w:pStyle w:val="Cuerpo"/>
        <w:jc w:val="both"/>
        <w:rPr>
          <w:rStyle w:val="Ninguno"/>
          <w:color w:val="auto"/>
          <w:u w:color="008080"/>
        </w:rPr>
      </w:pPr>
    </w:p>
    <w:p w14:paraId="0D401CB5" w14:textId="77777777" w:rsidR="00053930" w:rsidRPr="003C686F" w:rsidRDefault="00053930">
      <w:pPr>
        <w:pStyle w:val="Cuerpo"/>
        <w:jc w:val="both"/>
        <w:rPr>
          <w:rStyle w:val="Ninguno"/>
          <w:color w:val="auto"/>
          <w:u w:color="008080"/>
        </w:rPr>
      </w:pPr>
      <w:r>
        <w:rPr>
          <w:rStyle w:val="Ninguno"/>
          <w:color w:val="auto"/>
          <w:u w:color="008080"/>
        </w:rPr>
        <w:t>Para evaluar la incidencia de medicamentos que proporcionan los hospitales hemos puesto estas cifras en relación con la población total de cada Comunidad Autónoma que son los que aparecen en la siguiente tabla, en la cual se comprueba que algunas Comunidades Autónomas tienen un mayor gasto de medicamentos mensual per cápita.</w:t>
      </w:r>
    </w:p>
    <w:p w14:paraId="6F99F736" w14:textId="77777777" w:rsidR="008C235E" w:rsidRDefault="008C235E">
      <w:pPr>
        <w:pStyle w:val="Cuerpo"/>
        <w:jc w:val="both"/>
        <w:rPr>
          <w:rStyle w:val="Ninguno"/>
          <w:rFonts w:ascii="Arial Black" w:hAnsi="Arial Black"/>
          <w:color w:val="008080"/>
          <w:sz w:val="28"/>
          <w:szCs w:val="28"/>
          <w:u w:color="008080"/>
        </w:rPr>
      </w:pPr>
    </w:p>
    <w:tbl>
      <w:tblPr>
        <w:tblStyle w:val="Sombreadomedio2-nfasis1"/>
        <w:tblW w:w="5000" w:type="pct"/>
        <w:tblLook w:val="04A0" w:firstRow="1" w:lastRow="0" w:firstColumn="1" w:lastColumn="0" w:noHBand="0" w:noVBand="1"/>
      </w:tblPr>
      <w:tblGrid>
        <w:gridCol w:w="1805"/>
        <w:gridCol w:w="1854"/>
        <w:gridCol w:w="1930"/>
        <w:gridCol w:w="2407"/>
        <w:gridCol w:w="1058"/>
      </w:tblGrid>
      <w:tr w:rsidR="003C686F" w:rsidRPr="008C235E" w14:paraId="0310EA08" w14:textId="77777777" w:rsidTr="008C235E">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997" w:type="pct"/>
            <w:noWrap/>
            <w:hideMark/>
          </w:tcPr>
          <w:p w14:paraId="00ADB9F3"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p>
        </w:tc>
        <w:tc>
          <w:tcPr>
            <w:tcW w:w="1024" w:type="pct"/>
            <w:noWrap/>
            <w:hideMark/>
          </w:tcPr>
          <w:p w14:paraId="23C33EF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32"/>
                <w:szCs w:val="22"/>
                <w:bdr w:val="none" w:sz="0" w:space="0" w:color="auto"/>
                <w:lang w:val="es-ES" w:eastAsia="es-ES"/>
              </w:rPr>
            </w:pPr>
            <w:r w:rsidRPr="008C235E">
              <w:rPr>
                <w:rFonts w:ascii="Calibri" w:eastAsia="Times New Roman" w:hAnsi="Calibri" w:cs="Calibri"/>
                <w:sz w:val="32"/>
                <w:szCs w:val="22"/>
                <w:bdr w:val="none" w:sz="0" w:space="0" w:color="auto"/>
                <w:lang w:val="es-ES" w:eastAsia="es-ES"/>
              </w:rPr>
              <w:t>Población</w:t>
            </w:r>
          </w:p>
        </w:tc>
        <w:tc>
          <w:tcPr>
            <w:tcW w:w="1066" w:type="pct"/>
            <w:noWrap/>
            <w:hideMark/>
          </w:tcPr>
          <w:p w14:paraId="1453A9EE"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32"/>
                <w:szCs w:val="22"/>
                <w:bdr w:val="none" w:sz="0" w:space="0" w:color="auto"/>
                <w:lang w:val="es-ES" w:eastAsia="es-ES"/>
              </w:rPr>
            </w:pPr>
            <w:r w:rsidRPr="008C235E">
              <w:rPr>
                <w:rFonts w:ascii="Calibri" w:eastAsia="Times New Roman" w:hAnsi="Calibri" w:cs="Calibri"/>
                <w:sz w:val="32"/>
                <w:szCs w:val="22"/>
                <w:bdr w:val="none" w:sz="0" w:space="0" w:color="auto"/>
                <w:lang w:val="es-ES" w:eastAsia="es-ES"/>
              </w:rPr>
              <w:t xml:space="preserve"> Envases </w:t>
            </w:r>
          </w:p>
        </w:tc>
        <w:tc>
          <w:tcPr>
            <w:tcW w:w="1329" w:type="pct"/>
            <w:noWrap/>
            <w:hideMark/>
          </w:tcPr>
          <w:p w14:paraId="68AADBC6"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32"/>
                <w:szCs w:val="22"/>
                <w:bdr w:val="none" w:sz="0" w:space="0" w:color="auto"/>
                <w:lang w:val="es-ES" w:eastAsia="es-ES"/>
              </w:rPr>
            </w:pPr>
            <w:r w:rsidRPr="008C235E">
              <w:rPr>
                <w:rFonts w:ascii="Calibri" w:eastAsia="Times New Roman" w:hAnsi="Calibri" w:cs="Calibri"/>
                <w:sz w:val="32"/>
                <w:szCs w:val="22"/>
                <w:bdr w:val="none" w:sz="0" w:space="0" w:color="auto"/>
                <w:lang w:val="es-ES" w:eastAsia="es-ES"/>
              </w:rPr>
              <w:t>Gasto</w:t>
            </w:r>
          </w:p>
        </w:tc>
        <w:tc>
          <w:tcPr>
            <w:tcW w:w="585" w:type="pct"/>
            <w:hideMark/>
          </w:tcPr>
          <w:p w14:paraId="7DBE27FC"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bdr w:val="none" w:sz="0" w:space="0" w:color="auto"/>
                <w:lang w:val="es-ES" w:eastAsia="es-ES"/>
              </w:rPr>
            </w:pPr>
            <w:r w:rsidRPr="008C235E">
              <w:rPr>
                <w:rFonts w:ascii="Calibri" w:eastAsia="Times New Roman" w:hAnsi="Calibri" w:cs="Calibri"/>
                <w:sz w:val="22"/>
                <w:szCs w:val="22"/>
                <w:bdr w:val="none" w:sz="0" w:space="0" w:color="auto"/>
                <w:lang w:val="es-ES" w:eastAsia="es-ES"/>
              </w:rPr>
              <w:t xml:space="preserve">G. per </w:t>
            </w:r>
            <w:r w:rsidRPr="003C686F">
              <w:rPr>
                <w:rFonts w:ascii="Calibri" w:eastAsia="Times New Roman" w:hAnsi="Calibri" w:cs="Calibri"/>
                <w:sz w:val="22"/>
                <w:szCs w:val="22"/>
                <w:bdr w:val="none" w:sz="0" w:space="0" w:color="auto"/>
                <w:lang w:val="es-ES" w:eastAsia="es-ES"/>
              </w:rPr>
              <w:t>cápita</w:t>
            </w:r>
            <w:r w:rsidRPr="008C235E">
              <w:rPr>
                <w:rFonts w:ascii="Calibri" w:eastAsia="Times New Roman" w:hAnsi="Calibri" w:cs="Calibri"/>
                <w:sz w:val="22"/>
                <w:szCs w:val="22"/>
                <w:bdr w:val="none" w:sz="0" w:space="0" w:color="auto"/>
                <w:lang w:val="es-ES" w:eastAsia="es-ES"/>
              </w:rPr>
              <w:t>/ mes</w:t>
            </w:r>
          </w:p>
        </w:tc>
      </w:tr>
      <w:tr w:rsidR="003C686F" w:rsidRPr="008C235E" w14:paraId="6E9F3D83"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3AEEF592"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Asturias</w:t>
            </w:r>
          </w:p>
        </w:tc>
        <w:tc>
          <w:tcPr>
            <w:tcW w:w="1024" w:type="pct"/>
            <w:noWrap/>
            <w:hideMark/>
          </w:tcPr>
          <w:p w14:paraId="7C4FB283"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1.042.608</w:t>
            </w:r>
          </w:p>
        </w:tc>
        <w:tc>
          <w:tcPr>
            <w:tcW w:w="1066" w:type="pct"/>
            <w:noWrap/>
            <w:hideMark/>
          </w:tcPr>
          <w:p w14:paraId="18803F95"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770.712   </w:t>
            </w:r>
          </w:p>
        </w:tc>
        <w:tc>
          <w:tcPr>
            <w:tcW w:w="1329" w:type="pct"/>
            <w:noWrap/>
            <w:hideMark/>
          </w:tcPr>
          <w:p w14:paraId="0B13F180"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70.567.337,0   </w:t>
            </w:r>
          </w:p>
        </w:tc>
        <w:tc>
          <w:tcPr>
            <w:tcW w:w="585" w:type="pct"/>
            <w:noWrap/>
            <w:hideMark/>
          </w:tcPr>
          <w:p w14:paraId="17248216"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13,5</w:t>
            </w:r>
          </w:p>
        </w:tc>
      </w:tr>
      <w:tr w:rsidR="008C235E" w:rsidRPr="008C235E" w14:paraId="4D15FD82" w14:textId="77777777" w:rsidTr="008C235E">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6E07BB4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Aragón</w:t>
            </w:r>
          </w:p>
        </w:tc>
        <w:tc>
          <w:tcPr>
            <w:tcW w:w="1024" w:type="pct"/>
            <w:noWrap/>
            <w:hideMark/>
          </w:tcPr>
          <w:p w14:paraId="39A89A30"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1.308.563</w:t>
            </w:r>
          </w:p>
        </w:tc>
        <w:tc>
          <w:tcPr>
            <w:tcW w:w="1066" w:type="pct"/>
            <w:noWrap/>
            <w:hideMark/>
          </w:tcPr>
          <w:p w14:paraId="143005F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1.079.990   </w:t>
            </w:r>
          </w:p>
        </w:tc>
        <w:tc>
          <w:tcPr>
            <w:tcW w:w="1329" w:type="pct"/>
            <w:noWrap/>
            <w:hideMark/>
          </w:tcPr>
          <w:p w14:paraId="1161CF77"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83.451.768,0   </w:t>
            </w:r>
          </w:p>
        </w:tc>
        <w:tc>
          <w:tcPr>
            <w:tcW w:w="585" w:type="pct"/>
            <w:noWrap/>
            <w:hideMark/>
          </w:tcPr>
          <w:p w14:paraId="7060CFEF"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12,8</w:t>
            </w:r>
          </w:p>
        </w:tc>
      </w:tr>
      <w:tr w:rsidR="003C686F" w:rsidRPr="008C235E" w14:paraId="6DD4CF7D"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5FAB3D77"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Galicia</w:t>
            </w:r>
          </w:p>
        </w:tc>
        <w:tc>
          <w:tcPr>
            <w:tcW w:w="1024" w:type="pct"/>
            <w:noWrap/>
            <w:hideMark/>
          </w:tcPr>
          <w:p w14:paraId="4761E4E2"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2.718.525</w:t>
            </w:r>
          </w:p>
        </w:tc>
        <w:tc>
          <w:tcPr>
            <w:tcW w:w="1066" w:type="pct"/>
            <w:noWrap/>
            <w:hideMark/>
          </w:tcPr>
          <w:p w14:paraId="1196861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2.539.551   </w:t>
            </w:r>
          </w:p>
        </w:tc>
        <w:tc>
          <w:tcPr>
            <w:tcW w:w="1329" w:type="pct"/>
            <w:noWrap/>
            <w:hideMark/>
          </w:tcPr>
          <w:p w14:paraId="56A3384F"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171.037.175,0   </w:t>
            </w:r>
          </w:p>
        </w:tc>
        <w:tc>
          <w:tcPr>
            <w:tcW w:w="585" w:type="pct"/>
            <w:noWrap/>
            <w:hideMark/>
          </w:tcPr>
          <w:p w14:paraId="4EB416A0"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12,6</w:t>
            </w:r>
          </w:p>
        </w:tc>
      </w:tr>
      <w:tr w:rsidR="008C235E" w:rsidRPr="008C235E" w14:paraId="627E2B82" w14:textId="77777777" w:rsidTr="008C235E">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1828E6AC"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Navarra</w:t>
            </w:r>
          </w:p>
        </w:tc>
        <w:tc>
          <w:tcPr>
            <w:tcW w:w="1024" w:type="pct"/>
            <w:noWrap/>
            <w:hideMark/>
          </w:tcPr>
          <w:p w14:paraId="74261C7D"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640.647</w:t>
            </w:r>
          </w:p>
        </w:tc>
        <w:tc>
          <w:tcPr>
            <w:tcW w:w="1066" w:type="pct"/>
            <w:noWrap/>
            <w:hideMark/>
          </w:tcPr>
          <w:p w14:paraId="751FD69A"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476.948   </w:t>
            </w:r>
          </w:p>
        </w:tc>
        <w:tc>
          <w:tcPr>
            <w:tcW w:w="1329" w:type="pct"/>
            <w:noWrap/>
            <w:hideMark/>
          </w:tcPr>
          <w:p w14:paraId="6178C110"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39.996.113,0   </w:t>
            </w:r>
          </w:p>
        </w:tc>
        <w:tc>
          <w:tcPr>
            <w:tcW w:w="585" w:type="pct"/>
            <w:noWrap/>
            <w:hideMark/>
          </w:tcPr>
          <w:p w14:paraId="70936B0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12,5</w:t>
            </w:r>
          </w:p>
        </w:tc>
      </w:tr>
      <w:tr w:rsidR="003C686F" w:rsidRPr="008C235E" w14:paraId="7EAC8727"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1D58022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Madrid</w:t>
            </w:r>
          </w:p>
        </w:tc>
        <w:tc>
          <w:tcPr>
            <w:tcW w:w="1024" w:type="pct"/>
            <w:noWrap/>
            <w:hideMark/>
          </w:tcPr>
          <w:p w14:paraId="5457698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6.466.996</w:t>
            </w:r>
          </w:p>
        </w:tc>
        <w:tc>
          <w:tcPr>
            <w:tcW w:w="1066" w:type="pct"/>
            <w:noWrap/>
            <w:hideMark/>
          </w:tcPr>
          <w:p w14:paraId="38787EAB"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4.425.192   </w:t>
            </w:r>
          </w:p>
        </w:tc>
        <w:tc>
          <w:tcPr>
            <w:tcW w:w="1329" w:type="pct"/>
            <w:noWrap/>
            <w:hideMark/>
          </w:tcPr>
          <w:p w14:paraId="01A02E0E"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391.431.451,0   </w:t>
            </w:r>
          </w:p>
        </w:tc>
        <w:tc>
          <w:tcPr>
            <w:tcW w:w="585" w:type="pct"/>
            <w:noWrap/>
            <w:hideMark/>
          </w:tcPr>
          <w:p w14:paraId="791390F2"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12,1</w:t>
            </w:r>
          </w:p>
        </w:tc>
      </w:tr>
      <w:tr w:rsidR="008C235E" w:rsidRPr="008C235E" w14:paraId="05BB1B6B" w14:textId="77777777" w:rsidTr="008C235E">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3BC9D67C"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Extremadura</w:t>
            </w:r>
          </w:p>
        </w:tc>
        <w:tc>
          <w:tcPr>
            <w:tcW w:w="1024" w:type="pct"/>
            <w:noWrap/>
            <w:hideMark/>
          </w:tcPr>
          <w:p w14:paraId="49361B81"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1.087.778</w:t>
            </w:r>
          </w:p>
        </w:tc>
        <w:tc>
          <w:tcPr>
            <w:tcW w:w="1066" w:type="pct"/>
            <w:noWrap/>
            <w:hideMark/>
          </w:tcPr>
          <w:p w14:paraId="3BC9F024"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703.129   </w:t>
            </w:r>
          </w:p>
        </w:tc>
        <w:tc>
          <w:tcPr>
            <w:tcW w:w="1329" w:type="pct"/>
            <w:noWrap/>
            <w:hideMark/>
          </w:tcPr>
          <w:p w14:paraId="4D0E6B7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65.123.904,0   </w:t>
            </w:r>
          </w:p>
        </w:tc>
        <w:tc>
          <w:tcPr>
            <w:tcW w:w="585" w:type="pct"/>
            <w:noWrap/>
            <w:hideMark/>
          </w:tcPr>
          <w:p w14:paraId="3D3DC4FE"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12,0</w:t>
            </w:r>
          </w:p>
        </w:tc>
      </w:tr>
      <w:tr w:rsidR="003C686F" w:rsidRPr="008C235E" w14:paraId="3C754C04"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761794DC"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La Rioja</w:t>
            </w:r>
          </w:p>
        </w:tc>
        <w:tc>
          <w:tcPr>
            <w:tcW w:w="1024" w:type="pct"/>
            <w:noWrap/>
            <w:hideMark/>
          </w:tcPr>
          <w:p w14:paraId="01B6B695"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315.794</w:t>
            </w:r>
          </w:p>
        </w:tc>
        <w:tc>
          <w:tcPr>
            <w:tcW w:w="1066" w:type="pct"/>
            <w:noWrap/>
            <w:hideMark/>
          </w:tcPr>
          <w:p w14:paraId="598732F1"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263.408   </w:t>
            </w:r>
          </w:p>
        </w:tc>
        <w:tc>
          <w:tcPr>
            <w:tcW w:w="1329" w:type="pct"/>
            <w:noWrap/>
            <w:hideMark/>
          </w:tcPr>
          <w:p w14:paraId="32BA25F7"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18.697.858,0   </w:t>
            </w:r>
          </w:p>
        </w:tc>
        <w:tc>
          <w:tcPr>
            <w:tcW w:w="585" w:type="pct"/>
            <w:noWrap/>
            <w:hideMark/>
          </w:tcPr>
          <w:p w14:paraId="2A4F3A1E"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11,8</w:t>
            </w:r>
          </w:p>
        </w:tc>
      </w:tr>
      <w:tr w:rsidR="008C235E" w:rsidRPr="008C235E" w14:paraId="6E459593" w14:textId="77777777" w:rsidTr="008C235E">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7AF21B5A"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Castilla y León</w:t>
            </w:r>
          </w:p>
        </w:tc>
        <w:tc>
          <w:tcPr>
            <w:tcW w:w="1024" w:type="pct"/>
            <w:noWrap/>
            <w:hideMark/>
          </w:tcPr>
          <w:p w14:paraId="35104D1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2.447.519</w:t>
            </w:r>
          </w:p>
        </w:tc>
        <w:tc>
          <w:tcPr>
            <w:tcW w:w="1066" w:type="pct"/>
            <w:noWrap/>
            <w:hideMark/>
          </w:tcPr>
          <w:p w14:paraId="4D6A863B"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1.744.896   </w:t>
            </w:r>
          </w:p>
        </w:tc>
        <w:tc>
          <w:tcPr>
            <w:tcW w:w="1329" w:type="pct"/>
            <w:noWrap/>
            <w:hideMark/>
          </w:tcPr>
          <w:p w14:paraId="0AAC7096"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143.146.263,0   </w:t>
            </w:r>
          </w:p>
        </w:tc>
        <w:tc>
          <w:tcPr>
            <w:tcW w:w="585" w:type="pct"/>
            <w:noWrap/>
            <w:hideMark/>
          </w:tcPr>
          <w:p w14:paraId="1467D43B"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11,7</w:t>
            </w:r>
          </w:p>
        </w:tc>
      </w:tr>
      <w:tr w:rsidR="003C686F" w:rsidRPr="008C235E" w14:paraId="33EC4252"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7E8826CE"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Baleares</w:t>
            </w:r>
          </w:p>
        </w:tc>
        <w:tc>
          <w:tcPr>
            <w:tcW w:w="1024" w:type="pct"/>
            <w:noWrap/>
            <w:hideMark/>
          </w:tcPr>
          <w:p w14:paraId="4845972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1.107.220</w:t>
            </w:r>
          </w:p>
        </w:tc>
        <w:tc>
          <w:tcPr>
            <w:tcW w:w="1066" w:type="pct"/>
            <w:noWrap/>
            <w:hideMark/>
          </w:tcPr>
          <w:p w14:paraId="30C4D025"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722.342   </w:t>
            </w:r>
          </w:p>
        </w:tc>
        <w:tc>
          <w:tcPr>
            <w:tcW w:w="1329" w:type="pct"/>
            <w:noWrap/>
            <w:hideMark/>
          </w:tcPr>
          <w:p w14:paraId="0971E387"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64.377.311,0   </w:t>
            </w:r>
          </w:p>
        </w:tc>
        <w:tc>
          <w:tcPr>
            <w:tcW w:w="585" w:type="pct"/>
            <w:noWrap/>
            <w:hideMark/>
          </w:tcPr>
          <w:p w14:paraId="71325B7A"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11,6</w:t>
            </w:r>
          </w:p>
        </w:tc>
      </w:tr>
      <w:tr w:rsidR="008C235E" w:rsidRPr="008C235E" w14:paraId="75B2089E" w14:textId="77777777" w:rsidTr="008C235E">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09B905F4"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Cantabria</w:t>
            </w:r>
          </w:p>
        </w:tc>
        <w:tc>
          <w:tcPr>
            <w:tcW w:w="1024" w:type="pct"/>
            <w:noWrap/>
            <w:hideMark/>
          </w:tcPr>
          <w:p w14:paraId="1A26240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582.206</w:t>
            </w:r>
          </w:p>
        </w:tc>
        <w:tc>
          <w:tcPr>
            <w:tcW w:w="1066" w:type="pct"/>
            <w:noWrap/>
            <w:hideMark/>
          </w:tcPr>
          <w:p w14:paraId="4440F7D6"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349.912   </w:t>
            </w:r>
          </w:p>
        </w:tc>
        <w:tc>
          <w:tcPr>
            <w:tcW w:w="1329" w:type="pct"/>
            <w:noWrap/>
            <w:hideMark/>
          </w:tcPr>
          <w:p w14:paraId="0B7097AD"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33.572.481,0   </w:t>
            </w:r>
          </w:p>
        </w:tc>
        <w:tc>
          <w:tcPr>
            <w:tcW w:w="585" w:type="pct"/>
            <w:noWrap/>
            <w:hideMark/>
          </w:tcPr>
          <w:p w14:paraId="79776D8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11,5</w:t>
            </w:r>
          </w:p>
        </w:tc>
      </w:tr>
      <w:tr w:rsidR="003C686F" w:rsidRPr="008C235E" w14:paraId="4874FB8C"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4A018C4F"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País Vasco</w:t>
            </w:r>
          </w:p>
        </w:tc>
        <w:tc>
          <w:tcPr>
            <w:tcW w:w="1024" w:type="pct"/>
            <w:noWrap/>
            <w:hideMark/>
          </w:tcPr>
          <w:p w14:paraId="387096BB"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2.189.534</w:t>
            </w:r>
          </w:p>
        </w:tc>
        <w:tc>
          <w:tcPr>
            <w:tcW w:w="1066" w:type="pct"/>
            <w:noWrap/>
            <w:hideMark/>
          </w:tcPr>
          <w:p w14:paraId="52534A37"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1.746.536   </w:t>
            </w:r>
          </w:p>
        </w:tc>
        <w:tc>
          <w:tcPr>
            <w:tcW w:w="1329" w:type="pct"/>
            <w:noWrap/>
            <w:hideMark/>
          </w:tcPr>
          <w:p w14:paraId="6053085B"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125.295.459,0   </w:t>
            </w:r>
          </w:p>
        </w:tc>
        <w:tc>
          <w:tcPr>
            <w:tcW w:w="585" w:type="pct"/>
            <w:noWrap/>
            <w:hideMark/>
          </w:tcPr>
          <w:p w14:paraId="6C7465DF"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11,4</w:t>
            </w:r>
          </w:p>
        </w:tc>
      </w:tr>
      <w:tr w:rsidR="008C235E" w:rsidRPr="008C235E" w14:paraId="7A17E311" w14:textId="77777777" w:rsidTr="008C235E">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4AE2F41D"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Murcia</w:t>
            </w:r>
          </w:p>
        </w:tc>
        <w:tc>
          <w:tcPr>
            <w:tcW w:w="1024" w:type="pct"/>
            <w:noWrap/>
            <w:hideMark/>
          </w:tcPr>
          <w:p w14:paraId="7FBBD69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1.464.847</w:t>
            </w:r>
          </w:p>
        </w:tc>
        <w:tc>
          <w:tcPr>
            <w:tcW w:w="1066" w:type="pct"/>
            <w:noWrap/>
            <w:hideMark/>
          </w:tcPr>
          <w:p w14:paraId="6424922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1.077.927   </w:t>
            </w:r>
          </w:p>
        </w:tc>
        <w:tc>
          <w:tcPr>
            <w:tcW w:w="1329" w:type="pct"/>
            <w:noWrap/>
            <w:hideMark/>
          </w:tcPr>
          <w:p w14:paraId="6A07FBFE"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82.404.970,0   </w:t>
            </w:r>
          </w:p>
        </w:tc>
        <w:tc>
          <w:tcPr>
            <w:tcW w:w="585" w:type="pct"/>
            <w:noWrap/>
            <w:hideMark/>
          </w:tcPr>
          <w:p w14:paraId="4F5B3BF4"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11,3</w:t>
            </w:r>
          </w:p>
        </w:tc>
      </w:tr>
      <w:tr w:rsidR="003C686F" w:rsidRPr="008C235E" w14:paraId="309C75FC"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016F04CE"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C. Valenciana</w:t>
            </w:r>
          </w:p>
        </w:tc>
        <w:tc>
          <w:tcPr>
            <w:tcW w:w="1024" w:type="pct"/>
            <w:noWrap/>
            <w:hideMark/>
          </w:tcPr>
          <w:p w14:paraId="1B180F9B"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4.959.968</w:t>
            </w:r>
          </w:p>
        </w:tc>
        <w:tc>
          <w:tcPr>
            <w:tcW w:w="1066" w:type="pct"/>
            <w:noWrap/>
            <w:hideMark/>
          </w:tcPr>
          <w:p w14:paraId="051B6CB4"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2.824.948   </w:t>
            </w:r>
          </w:p>
        </w:tc>
        <w:tc>
          <w:tcPr>
            <w:tcW w:w="1329" w:type="pct"/>
            <w:noWrap/>
            <w:hideMark/>
          </w:tcPr>
          <w:p w14:paraId="0825E7A2"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255.804.375,0   </w:t>
            </w:r>
          </w:p>
        </w:tc>
        <w:tc>
          <w:tcPr>
            <w:tcW w:w="585" w:type="pct"/>
            <w:noWrap/>
            <w:hideMark/>
          </w:tcPr>
          <w:p w14:paraId="3133F075"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10,3</w:t>
            </w:r>
          </w:p>
        </w:tc>
      </w:tr>
      <w:tr w:rsidR="008C235E" w:rsidRPr="008C235E" w14:paraId="02C79A94" w14:textId="77777777" w:rsidTr="008C235E">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7D670C96"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Castilla L-M</w:t>
            </w:r>
          </w:p>
        </w:tc>
        <w:tc>
          <w:tcPr>
            <w:tcW w:w="1024" w:type="pct"/>
            <w:noWrap/>
            <w:hideMark/>
          </w:tcPr>
          <w:p w14:paraId="755ADC5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2.041.631</w:t>
            </w:r>
          </w:p>
        </w:tc>
        <w:tc>
          <w:tcPr>
            <w:tcW w:w="1066" w:type="pct"/>
            <w:noWrap/>
            <w:hideMark/>
          </w:tcPr>
          <w:p w14:paraId="39C442AF"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1.406.918   </w:t>
            </w:r>
          </w:p>
        </w:tc>
        <w:tc>
          <w:tcPr>
            <w:tcW w:w="1329" w:type="pct"/>
            <w:noWrap/>
            <w:hideMark/>
          </w:tcPr>
          <w:p w14:paraId="393F1342"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99.709.947,0   </w:t>
            </w:r>
          </w:p>
        </w:tc>
        <w:tc>
          <w:tcPr>
            <w:tcW w:w="585" w:type="pct"/>
            <w:noWrap/>
            <w:hideMark/>
          </w:tcPr>
          <w:p w14:paraId="43D2A31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9,8</w:t>
            </w:r>
          </w:p>
        </w:tc>
      </w:tr>
      <w:tr w:rsidR="003C686F" w:rsidRPr="008C235E" w14:paraId="02AFD6A6"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3E81BE7D"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Cataluña</w:t>
            </w:r>
          </w:p>
        </w:tc>
        <w:tc>
          <w:tcPr>
            <w:tcW w:w="1024" w:type="pct"/>
            <w:noWrap/>
            <w:hideMark/>
          </w:tcPr>
          <w:p w14:paraId="12758706"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7.522.596</w:t>
            </w:r>
          </w:p>
        </w:tc>
        <w:tc>
          <w:tcPr>
            <w:tcW w:w="1066" w:type="pct"/>
            <w:noWrap/>
            <w:hideMark/>
          </w:tcPr>
          <w:p w14:paraId="41C9B1D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835.120   </w:t>
            </w:r>
          </w:p>
        </w:tc>
        <w:tc>
          <w:tcPr>
            <w:tcW w:w="1329" w:type="pct"/>
            <w:noWrap/>
            <w:hideMark/>
          </w:tcPr>
          <w:p w14:paraId="71B87BF0"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355.762.762,0   </w:t>
            </w:r>
          </w:p>
        </w:tc>
        <w:tc>
          <w:tcPr>
            <w:tcW w:w="585" w:type="pct"/>
            <w:noWrap/>
            <w:hideMark/>
          </w:tcPr>
          <w:p w14:paraId="4D77A989"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9,5</w:t>
            </w:r>
          </w:p>
        </w:tc>
      </w:tr>
      <w:tr w:rsidR="008C235E" w:rsidRPr="008C235E" w14:paraId="1744FCC9" w14:textId="77777777" w:rsidTr="008C235E">
        <w:trPr>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2ECA44AB"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Canarias</w:t>
            </w:r>
          </w:p>
        </w:tc>
        <w:tc>
          <w:tcPr>
            <w:tcW w:w="1024" w:type="pct"/>
            <w:noWrap/>
            <w:hideMark/>
          </w:tcPr>
          <w:p w14:paraId="20B92DF7"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2.101.924</w:t>
            </w:r>
          </w:p>
        </w:tc>
        <w:tc>
          <w:tcPr>
            <w:tcW w:w="1066" w:type="pct"/>
            <w:noWrap/>
            <w:hideMark/>
          </w:tcPr>
          <w:p w14:paraId="7B251F0A"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1.224.993   </w:t>
            </w:r>
          </w:p>
        </w:tc>
        <w:tc>
          <w:tcPr>
            <w:tcW w:w="1329" w:type="pct"/>
            <w:noWrap/>
            <w:hideMark/>
          </w:tcPr>
          <w:p w14:paraId="5A24B951"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96.021.693,0   </w:t>
            </w:r>
          </w:p>
        </w:tc>
        <w:tc>
          <w:tcPr>
            <w:tcW w:w="585" w:type="pct"/>
            <w:noWrap/>
            <w:hideMark/>
          </w:tcPr>
          <w:p w14:paraId="4DE64DD6"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9,1</w:t>
            </w:r>
          </w:p>
        </w:tc>
      </w:tr>
      <w:tr w:rsidR="003C686F" w:rsidRPr="008C235E" w14:paraId="33DDDCB0" w14:textId="77777777" w:rsidTr="008C235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7" w:type="pct"/>
            <w:noWrap/>
            <w:hideMark/>
          </w:tcPr>
          <w:p w14:paraId="4CA27007"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Cs w:val="22"/>
                <w:bdr w:val="none" w:sz="0" w:space="0" w:color="auto"/>
                <w:lang w:val="es-ES" w:eastAsia="es-ES"/>
              </w:rPr>
            </w:pPr>
            <w:r w:rsidRPr="008C235E">
              <w:rPr>
                <w:rFonts w:ascii="Calibri" w:eastAsia="Times New Roman" w:hAnsi="Calibri" w:cs="Calibri"/>
                <w:szCs w:val="22"/>
                <w:bdr w:val="none" w:sz="0" w:space="0" w:color="auto"/>
                <w:lang w:val="es-ES" w:eastAsia="es-ES"/>
              </w:rPr>
              <w:t>Andalucía</w:t>
            </w:r>
          </w:p>
        </w:tc>
        <w:tc>
          <w:tcPr>
            <w:tcW w:w="1024" w:type="pct"/>
            <w:noWrap/>
            <w:hideMark/>
          </w:tcPr>
          <w:p w14:paraId="0EB0A18D"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bdr w:val="none" w:sz="0" w:space="0" w:color="auto"/>
                <w:lang w:val="es-ES" w:eastAsia="es-ES"/>
              </w:rPr>
            </w:pPr>
            <w:r w:rsidRPr="008C235E">
              <w:rPr>
                <w:rFonts w:ascii="Arial" w:eastAsia="Times New Roman" w:hAnsi="Arial" w:cs="Arial"/>
                <w:color w:val="000000"/>
                <w:sz w:val="18"/>
                <w:szCs w:val="18"/>
                <w:bdr w:val="none" w:sz="0" w:space="0" w:color="auto"/>
                <w:lang w:val="es-ES" w:eastAsia="es-ES"/>
              </w:rPr>
              <w:t>8.388.107</w:t>
            </w:r>
          </w:p>
        </w:tc>
        <w:tc>
          <w:tcPr>
            <w:tcW w:w="1066" w:type="pct"/>
            <w:noWrap/>
            <w:hideMark/>
          </w:tcPr>
          <w:p w14:paraId="29324C01"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4.071.457   </w:t>
            </w:r>
          </w:p>
        </w:tc>
        <w:tc>
          <w:tcPr>
            <w:tcW w:w="1329" w:type="pct"/>
            <w:noWrap/>
            <w:hideMark/>
          </w:tcPr>
          <w:p w14:paraId="099A9B88"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 xml:space="preserve">          366.683.050,0   </w:t>
            </w:r>
          </w:p>
        </w:tc>
        <w:tc>
          <w:tcPr>
            <w:tcW w:w="585" w:type="pct"/>
            <w:noWrap/>
            <w:hideMark/>
          </w:tcPr>
          <w:p w14:paraId="0B4D69BB" w14:textId="77777777" w:rsidR="008C235E" w:rsidRPr="008C235E" w:rsidRDefault="008C235E" w:rsidP="008C235E">
            <w:pPr>
              <w:pBdr>
                <w:top w:val="none" w:sz="0" w:space="0" w:color="auto"/>
                <w:left w:val="none" w:sz="0" w:space="0" w:color="auto"/>
                <w:bottom w:val="none" w:sz="0" w:space="0" w:color="auto"/>
                <w:right w:val="none" w:sz="0" w:space="0" w:color="auto"/>
                <w:between w:val="none" w:sz="0" w:space="0" w:color="auto"/>
                <w:bar w:val="none" w:sz="0" w:color="auto"/>
              </w:pBd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8C235E">
              <w:rPr>
                <w:rFonts w:ascii="Calibri" w:eastAsia="Times New Roman" w:hAnsi="Calibri" w:cs="Calibri"/>
                <w:color w:val="000000"/>
                <w:sz w:val="22"/>
                <w:szCs w:val="22"/>
                <w:bdr w:val="none" w:sz="0" w:space="0" w:color="auto"/>
                <w:lang w:val="es-ES" w:eastAsia="es-ES"/>
              </w:rPr>
              <w:t>8,7</w:t>
            </w:r>
          </w:p>
        </w:tc>
      </w:tr>
    </w:tbl>
    <w:p w14:paraId="616816CA" w14:textId="77777777" w:rsidR="008C235E" w:rsidRPr="00053930" w:rsidRDefault="008C235E">
      <w:pPr>
        <w:pStyle w:val="Cuerpo"/>
        <w:jc w:val="both"/>
        <w:rPr>
          <w:rStyle w:val="Ninguno"/>
          <w:color w:val="auto"/>
          <w:szCs w:val="28"/>
          <w:u w:color="008080"/>
        </w:rPr>
      </w:pPr>
    </w:p>
    <w:p w14:paraId="713F2ED4" w14:textId="77777777" w:rsidR="008C235E" w:rsidRPr="00053930" w:rsidRDefault="00053930">
      <w:pPr>
        <w:pStyle w:val="Cuerpo"/>
        <w:jc w:val="both"/>
        <w:rPr>
          <w:rStyle w:val="Ninguno"/>
          <w:color w:val="auto"/>
          <w:szCs w:val="28"/>
          <w:u w:color="008080"/>
        </w:rPr>
      </w:pPr>
      <w:r>
        <w:rPr>
          <w:rStyle w:val="Ninguno"/>
          <w:color w:val="auto"/>
          <w:szCs w:val="28"/>
          <w:u w:color="008080"/>
        </w:rPr>
        <w:lastRenderedPageBreak/>
        <w:t>Estas comunidades son Asturias, Aragón, Galicia y Navarra, mientras que las Comunidades con un menor gasto hospitalario son Andalucía, Canarias y Castilla La Mancha, excluyendo a Cataluña por el error metodológico que hemos apuntado.</w:t>
      </w:r>
    </w:p>
    <w:p w14:paraId="1FF466FD" w14:textId="77777777" w:rsidR="008C235E" w:rsidRDefault="008C235E">
      <w:pPr>
        <w:pStyle w:val="Cuerpo"/>
        <w:jc w:val="both"/>
        <w:rPr>
          <w:rStyle w:val="Ninguno"/>
          <w:rFonts w:ascii="Arial Black" w:hAnsi="Arial Black"/>
          <w:color w:val="008080"/>
          <w:sz w:val="28"/>
          <w:szCs w:val="28"/>
          <w:u w:color="008080"/>
        </w:rPr>
      </w:pPr>
    </w:p>
    <w:p w14:paraId="7E1FC801" w14:textId="77777777" w:rsidR="008C235E" w:rsidRDefault="008C235E">
      <w:pPr>
        <w:pStyle w:val="Cuerpo"/>
        <w:jc w:val="both"/>
        <w:rPr>
          <w:rStyle w:val="Ninguno"/>
          <w:rFonts w:ascii="Arial Black" w:hAnsi="Arial Black"/>
          <w:color w:val="008080"/>
          <w:sz w:val="28"/>
          <w:szCs w:val="28"/>
          <w:u w:color="008080"/>
        </w:rPr>
      </w:pPr>
      <w:r>
        <w:rPr>
          <w:noProof/>
          <w:lang w:val="es-ES_tradnl" w:eastAsia="es-ES_tradnl"/>
        </w:rPr>
        <w:drawing>
          <wp:inline distT="0" distB="0" distL="0" distR="0" wp14:anchorId="7560E1BA" wp14:editId="20C08519">
            <wp:extent cx="5673687" cy="3657600"/>
            <wp:effectExtent l="0" t="0" r="381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48D53C" w14:textId="77777777" w:rsidR="008C235E" w:rsidRDefault="008C235E">
      <w:pPr>
        <w:pStyle w:val="Cuerpo"/>
        <w:jc w:val="both"/>
        <w:rPr>
          <w:rStyle w:val="Ninguno"/>
          <w:rFonts w:ascii="Arial Black" w:hAnsi="Arial Black"/>
          <w:color w:val="008080"/>
          <w:sz w:val="28"/>
          <w:szCs w:val="28"/>
          <w:u w:color="008080"/>
        </w:rPr>
      </w:pPr>
    </w:p>
    <w:p w14:paraId="192936D7" w14:textId="77777777" w:rsidR="008C235E" w:rsidRPr="00147DB9" w:rsidRDefault="00053930">
      <w:pPr>
        <w:pStyle w:val="Cuerpo"/>
        <w:jc w:val="both"/>
        <w:rPr>
          <w:rStyle w:val="Ninguno"/>
          <w:b/>
          <w:color w:val="auto"/>
          <w:szCs w:val="28"/>
          <w:u w:color="008080"/>
        </w:rPr>
      </w:pPr>
      <w:r w:rsidRPr="00147DB9">
        <w:rPr>
          <w:rStyle w:val="Ninguno"/>
          <w:b/>
          <w:color w:val="auto"/>
          <w:szCs w:val="28"/>
          <w:u w:color="008080"/>
        </w:rPr>
        <w:t>Aunque constituye una buena noticia que los datos de consumo hosp</w:t>
      </w:r>
      <w:r w:rsidR="005A5E3B" w:rsidRPr="00147DB9">
        <w:rPr>
          <w:rStyle w:val="Ninguno"/>
          <w:b/>
          <w:color w:val="auto"/>
          <w:szCs w:val="28"/>
          <w:u w:color="008080"/>
        </w:rPr>
        <w:t>italario comiencen a publicarse, queda un gran camino por recorrer, ya que resulta incomprensible que una gran parte de ese gasto se centre en el suministro de medicamentos a los pacientes ambulantes y no ingresados.</w:t>
      </w:r>
    </w:p>
    <w:p w14:paraId="5D2999FD" w14:textId="77777777" w:rsidR="005A5E3B" w:rsidRDefault="005A5E3B">
      <w:pPr>
        <w:pStyle w:val="Cuerpo"/>
        <w:jc w:val="both"/>
        <w:rPr>
          <w:rStyle w:val="Ninguno"/>
          <w:color w:val="auto"/>
          <w:szCs w:val="28"/>
          <w:u w:color="008080"/>
        </w:rPr>
      </w:pPr>
    </w:p>
    <w:p w14:paraId="20056E7B" w14:textId="77777777" w:rsidR="005A5E3B" w:rsidRDefault="005A5E3B">
      <w:pPr>
        <w:pStyle w:val="Cuerpo"/>
        <w:jc w:val="both"/>
        <w:rPr>
          <w:rStyle w:val="Ninguno"/>
          <w:color w:val="auto"/>
          <w:szCs w:val="28"/>
          <w:u w:color="008080"/>
        </w:rPr>
      </w:pPr>
      <w:r>
        <w:rPr>
          <w:rStyle w:val="Ninguno"/>
          <w:color w:val="auto"/>
          <w:szCs w:val="28"/>
          <w:u w:color="008080"/>
        </w:rPr>
        <w:t>La definición de los medicamentos de uso exclusivo hospitalario proporcionada por la Agencia del Medicamento y las sentencias de los Tribunales Superiores de Justicia y el Tribunal Supremo sobre los medicamentos reservados en exclusiva a hospitales están produciendo que de forma muy lenta se pongan muchos medicamentos a disposición de los médicos de atención primaria, algo que se observa en algunas Comunidades Autónomas como la Comunidad Valenciana o Andalucía, que vienen reduciendo el consumo de medicamentos por los hospitales de forma gradual, lo que se traduce en una mayor satisfacción de los pacientes y lo que hemos denominados “copago en la sombra” por desplazamientos y pérdida de jornadas laborales.</w:t>
      </w:r>
    </w:p>
    <w:p w14:paraId="0B6C29EC" w14:textId="77777777" w:rsidR="005A5E3B" w:rsidRDefault="005A5E3B">
      <w:pPr>
        <w:pStyle w:val="Cuerpo"/>
        <w:jc w:val="both"/>
        <w:rPr>
          <w:rStyle w:val="Ninguno"/>
          <w:color w:val="auto"/>
          <w:szCs w:val="28"/>
          <w:u w:color="008080"/>
        </w:rPr>
      </w:pPr>
    </w:p>
    <w:p w14:paraId="4F90EFEA" w14:textId="77777777" w:rsidR="005A5E3B" w:rsidRPr="00147DB9" w:rsidRDefault="005A5E3B">
      <w:pPr>
        <w:pStyle w:val="Cuerpo"/>
        <w:jc w:val="both"/>
        <w:rPr>
          <w:rStyle w:val="Ninguno"/>
          <w:b/>
          <w:color w:val="auto"/>
          <w:szCs w:val="28"/>
          <w:u w:color="008080"/>
        </w:rPr>
      </w:pPr>
      <w:r w:rsidRPr="00147DB9">
        <w:rPr>
          <w:rStyle w:val="Ninguno"/>
          <w:b/>
          <w:color w:val="auto"/>
          <w:szCs w:val="28"/>
          <w:u w:color="008080"/>
        </w:rPr>
        <w:t xml:space="preserve">En cualquier caso, el análisis </w:t>
      </w:r>
      <w:r w:rsidR="00CD22A3" w:rsidRPr="00147DB9">
        <w:rPr>
          <w:rStyle w:val="Ninguno"/>
          <w:b/>
          <w:color w:val="auto"/>
          <w:szCs w:val="28"/>
          <w:u w:color="008080"/>
        </w:rPr>
        <w:t>del consumo hospitalario y l</w:t>
      </w:r>
      <w:r w:rsidR="00532D1D">
        <w:rPr>
          <w:rStyle w:val="Ninguno"/>
          <w:b/>
          <w:color w:val="auto"/>
          <w:szCs w:val="28"/>
          <w:u w:color="008080"/>
        </w:rPr>
        <w:t xml:space="preserve">a puesta a disposición </w:t>
      </w:r>
      <w:r w:rsidR="00CD22A3" w:rsidRPr="00147DB9">
        <w:rPr>
          <w:rStyle w:val="Ninguno"/>
          <w:b/>
          <w:color w:val="auto"/>
          <w:szCs w:val="28"/>
          <w:u w:color="008080"/>
        </w:rPr>
        <w:t xml:space="preserve">de datos de carácter cualitativo, debe continuar, </w:t>
      </w:r>
      <w:proofErr w:type="gramStart"/>
      <w:r w:rsidR="00CD22A3" w:rsidRPr="00147DB9">
        <w:rPr>
          <w:rStyle w:val="Ninguno"/>
          <w:b/>
          <w:color w:val="auto"/>
          <w:szCs w:val="28"/>
          <w:u w:color="008080"/>
        </w:rPr>
        <w:t>ya que</w:t>
      </w:r>
      <w:proofErr w:type="gramEnd"/>
      <w:r w:rsidR="00CD22A3" w:rsidRPr="00147DB9">
        <w:rPr>
          <w:rStyle w:val="Ninguno"/>
          <w:b/>
          <w:color w:val="auto"/>
          <w:szCs w:val="28"/>
          <w:u w:color="008080"/>
        </w:rPr>
        <w:t xml:space="preserve"> en su conjunto, prácticamente igualan al consumo a través de recetas y su crecimiento es mayor en este momento.</w:t>
      </w:r>
    </w:p>
    <w:p w14:paraId="0650D228" w14:textId="77777777" w:rsidR="005A5E3B" w:rsidRDefault="00CD22A3">
      <w:pPr>
        <w:pStyle w:val="Cuerpo"/>
        <w:jc w:val="both"/>
        <w:rPr>
          <w:rStyle w:val="Ninguno"/>
          <w:rFonts w:ascii="Arial Black" w:hAnsi="Arial Black"/>
          <w:color w:val="008080"/>
          <w:sz w:val="28"/>
          <w:szCs w:val="28"/>
          <w:u w:color="008080"/>
        </w:rPr>
      </w:pPr>
      <w:r>
        <w:rPr>
          <w:rStyle w:val="Ninguno"/>
          <w:rFonts w:ascii="Arial Black" w:hAnsi="Arial Black"/>
          <w:color w:val="008080"/>
          <w:sz w:val="28"/>
          <w:szCs w:val="28"/>
          <w:u w:color="008080"/>
        </w:rPr>
        <w:lastRenderedPageBreak/>
        <w:t>La caída de ventas de las farmacias fue superior a los 1.0</w:t>
      </w:r>
      <w:r w:rsidR="00147DB9">
        <w:rPr>
          <w:rStyle w:val="Ninguno"/>
          <w:rFonts w:ascii="Arial Black" w:hAnsi="Arial Black"/>
          <w:color w:val="008080"/>
          <w:sz w:val="28"/>
          <w:szCs w:val="28"/>
          <w:u w:color="008080"/>
        </w:rPr>
        <w:t>47</w:t>
      </w:r>
      <w:r>
        <w:rPr>
          <w:rStyle w:val="Ninguno"/>
          <w:rFonts w:ascii="Arial Black" w:hAnsi="Arial Black"/>
          <w:color w:val="008080"/>
          <w:sz w:val="28"/>
          <w:szCs w:val="28"/>
          <w:u w:color="008080"/>
        </w:rPr>
        <w:t xml:space="preserve"> millones entre 2011 y 2016.</w:t>
      </w:r>
    </w:p>
    <w:p w14:paraId="659AFC74" w14:textId="77777777" w:rsidR="0094181E" w:rsidRDefault="0094181E">
      <w:pPr>
        <w:pStyle w:val="Cuerpo"/>
        <w:jc w:val="both"/>
        <w:rPr>
          <w:rStyle w:val="Ninguno"/>
          <w:rFonts w:ascii="Arial Black" w:hAnsi="Arial Black"/>
          <w:color w:val="008080"/>
          <w:sz w:val="28"/>
          <w:szCs w:val="28"/>
          <w:u w:color="008080"/>
        </w:rPr>
      </w:pPr>
    </w:p>
    <w:p w14:paraId="05D3E9A0" w14:textId="77777777" w:rsidR="0094181E" w:rsidRDefault="0094181E">
      <w:pPr>
        <w:pStyle w:val="Cuerpo"/>
        <w:jc w:val="both"/>
        <w:rPr>
          <w:rStyle w:val="Ninguno"/>
          <w:color w:val="auto"/>
          <w:szCs w:val="28"/>
          <w:u w:color="008080"/>
        </w:rPr>
      </w:pPr>
      <w:r w:rsidRPr="0094181E">
        <w:rPr>
          <w:rStyle w:val="Ninguno"/>
          <w:color w:val="auto"/>
          <w:szCs w:val="28"/>
          <w:u w:color="008080"/>
        </w:rPr>
        <w:t>La caída de ventas de medicamentos y productos sanitarios</w:t>
      </w:r>
      <w:r>
        <w:rPr>
          <w:rStyle w:val="Ninguno"/>
          <w:color w:val="auto"/>
          <w:szCs w:val="28"/>
          <w:u w:color="008080"/>
        </w:rPr>
        <w:t xml:space="preserve"> que se ha producido entre 2011 y 2016 supera los 1.000 millone</w:t>
      </w:r>
      <w:r w:rsidR="00147DB9">
        <w:rPr>
          <w:rStyle w:val="Ninguno"/>
          <w:color w:val="auto"/>
          <w:szCs w:val="28"/>
          <w:u w:color="008080"/>
        </w:rPr>
        <w:t xml:space="preserve">s de euros (concretamente 1.057 </w:t>
      </w:r>
      <w:r>
        <w:rPr>
          <w:rStyle w:val="Ninguno"/>
          <w:color w:val="auto"/>
          <w:szCs w:val="28"/>
          <w:u w:color="008080"/>
        </w:rPr>
        <w:t>millones de euros).</w:t>
      </w:r>
    </w:p>
    <w:p w14:paraId="2DB65FCA" w14:textId="77777777" w:rsidR="0094181E" w:rsidRDefault="0094181E">
      <w:pPr>
        <w:pStyle w:val="Cuerpo"/>
        <w:jc w:val="both"/>
        <w:rPr>
          <w:rStyle w:val="Ninguno"/>
          <w:color w:val="auto"/>
          <w:szCs w:val="28"/>
          <w:u w:color="008080"/>
        </w:rPr>
      </w:pPr>
    </w:p>
    <w:p w14:paraId="488598DB" w14:textId="77777777" w:rsidR="0094181E" w:rsidRDefault="0094181E">
      <w:pPr>
        <w:pStyle w:val="Cuerpo"/>
        <w:jc w:val="both"/>
        <w:rPr>
          <w:rStyle w:val="Ninguno"/>
          <w:color w:val="auto"/>
          <w:szCs w:val="28"/>
          <w:u w:color="008080"/>
        </w:rPr>
      </w:pPr>
      <w:r>
        <w:rPr>
          <w:rStyle w:val="Ninguno"/>
          <w:color w:val="auto"/>
          <w:szCs w:val="28"/>
          <w:u w:color="008080"/>
        </w:rPr>
        <w:t xml:space="preserve">Las causas de este descenso de productos financiados hay que atribuirlas en primer término a la contención de la demanda que se produjo tras la publicación del Real Decreto Ley 16/2012 que generalizó el copago a los pensionistas </w:t>
      </w:r>
      <w:r w:rsidR="009F246F">
        <w:rPr>
          <w:rStyle w:val="Ninguno"/>
          <w:color w:val="auto"/>
          <w:szCs w:val="28"/>
          <w:u w:color="008080"/>
        </w:rPr>
        <w:t xml:space="preserve">y estableció diferentes cuantías por niveles de renta. Complementariamente a esto en el mes de agosto de 2012 se produjo la </w:t>
      </w:r>
      <w:proofErr w:type="spellStart"/>
      <w:r w:rsidR="009F246F">
        <w:rPr>
          <w:rStyle w:val="Ninguno"/>
          <w:color w:val="auto"/>
          <w:szCs w:val="28"/>
          <w:u w:color="008080"/>
        </w:rPr>
        <w:t>desfinanciación</w:t>
      </w:r>
      <w:proofErr w:type="spellEnd"/>
      <w:r w:rsidR="009F246F">
        <w:rPr>
          <w:rStyle w:val="Ninguno"/>
          <w:color w:val="auto"/>
          <w:szCs w:val="28"/>
          <w:u w:color="008080"/>
        </w:rPr>
        <w:t xml:space="preserve"> de casi 500 medicamentos utilizados en síndromes menores.</w:t>
      </w:r>
    </w:p>
    <w:p w14:paraId="4845E68B" w14:textId="77777777" w:rsidR="009F246F" w:rsidRDefault="009F246F">
      <w:pPr>
        <w:pStyle w:val="Cuerpo"/>
        <w:jc w:val="both"/>
        <w:rPr>
          <w:rStyle w:val="Ninguno"/>
          <w:color w:val="auto"/>
          <w:szCs w:val="28"/>
          <w:u w:color="008080"/>
        </w:rPr>
      </w:pPr>
    </w:p>
    <w:p w14:paraId="3CAA4C4C" w14:textId="77777777" w:rsidR="009F246F" w:rsidRPr="0094181E" w:rsidRDefault="009F246F">
      <w:pPr>
        <w:pStyle w:val="Cuerpo"/>
        <w:jc w:val="both"/>
        <w:rPr>
          <w:rStyle w:val="Ninguno"/>
          <w:color w:val="auto"/>
          <w:sz w:val="28"/>
          <w:szCs w:val="28"/>
          <w:u w:color="008080"/>
        </w:rPr>
      </w:pPr>
      <w:r>
        <w:rPr>
          <w:rStyle w:val="Ninguno"/>
          <w:color w:val="auto"/>
          <w:szCs w:val="28"/>
          <w:u w:color="008080"/>
        </w:rPr>
        <w:t xml:space="preserve">En el cuadro siguiente se muestra la pérdida de ventas por farmacia en cada Comunidad Autónomas para lo cual se han tenido en cuenta el número de farmacias en los años 2011 y 2016. Lógicamente en la pérdida de ventas por farmacia han influido, además de las medidas sobre la demanda y la </w:t>
      </w:r>
      <w:proofErr w:type="spellStart"/>
      <w:r>
        <w:rPr>
          <w:rStyle w:val="Ninguno"/>
          <w:color w:val="auto"/>
          <w:szCs w:val="28"/>
          <w:u w:color="008080"/>
        </w:rPr>
        <w:t>desfinanciación</w:t>
      </w:r>
      <w:proofErr w:type="spellEnd"/>
      <w:r>
        <w:rPr>
          <w:rStyle w:val="Ninguno"/>
          <w:color w:val="auto"/>
          <w:szCs w:val="28"/>
          <w:u w:color="008080"/>
        </w:rPr>
        <w:t>, la apertura de nuevas farmacias.</w:t>
      </w:r>
    </w:p>
    <w:p w14:paraId="6C3DC55E" w14:textId="77777777" w:rsidR="00CD22A3" w:rsidRDefault="00CD22A3">
      <w:pPr>
        <w:pStyle w:val="Cuerpo"/>
        <w:jc w:val="both"/>
        <w:rPr>
          <w:rStyle w:val="Ninguno"/>
          <w:rFonts w:ascii="Arial Black" w:hAnsi="Arial Black"/>
          <w:color w:val="008080"/>
          <w:sz w:val="28"/>
          <w:szCs w:val="28"/>
          <w:u w:color="008080"/>
        </w:rPr>
      </w:pPr>
    </w:p>
    <w:tbl>
      <w:tblPr>
        <w:tblStyle w:val="Sombreadomedio2-nfasis1"/>
        <w:tblW w:w="4878" w:type="pct"/>
        <w:tblLook w:val="04A0" w:firstRow="1" w:lastRow="0" w:firstColumn="1" w:lastColumn="0" w:noHBand="0" w:noVBand="1"/>
      </w:tblPr>
      <w:tblGrid>
        <w:gridCol w:w="2285"/>
        <w:gridCol w:w="1233"/>
        <w:gridCol w:w="1256"/>
        <w:gridCol w:w="1133"/>
        <w:gridCol w:w="891"/>
        <w:gridCol w:w="1018"/>
        <w:gridCol w:w="1017"/>
      </w:tblGrid>
      <w:tr w:rsidR="0094181E" w:rsidRPr="0094181E" w14:paraId="1CE03656" w14:textId="77777777" w:rsidTr="0094181E">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965" w:type="pct"/>
            <w:noWrap/>
            <w:hideMark/>
          </w:tcPr>
          <w:p w14:paraId="18C9851C"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Comunidad Autónoma</w:t>
            </w:r>
          </w:p>
        </w:tc>
        <w:tc>
          <w:tcPr>
            <w:tcW w:w="753" w:type="pct"/>
            <w:hideMark/>
          </w:tcPr>
          <w:p w14:paraId="0604549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Numero F 2011</w:t>
            </w:r>
          </w:p>
        </w:tc>
        <w:tc>
          <w:tcPr>
            <w:tcW w:w="766" w:type="pct"/>
            <w:hideMark/>
          </w:tcPr>
          <w:p w14:paraId="6F2F1C3E"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Gasto total 2011</w:t>
            </w:r>
          </w:p>
        </w:tc>
        <w:tc>
          <w:tcPr>
            <w:tcW w:w="696" w:type="pct"/>
            <w:hideMark/>
          </w:tcPr>
          <w:p w14:paraId="7D5B777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Numero F 2016</w:t>
            </w:r>
          </w:p>
        </w:tc>
        <w:tc>
          <w:tcPr>
            <w:tcW w:w="559" w:type="pct"/>
            <w:hideMark/>
          </w:tcPr>
          <w:p w14:paraId="39034E06"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Gasto total 2016</w:t>
            </w:r>
          </w:p>
        </w:tc>
        <w:tc>
          <w:tcPr>
            <w:tcW w:w="631" w:type="pct"/>
            <w:hideMark/>
          </w:tcPr>
          <w:p w14:paraId="4ED519C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Ventas F 2011</w:t>
            </w:r>
          </w:p>
        </w:tc>
        <w:tc>
          <w:tcPr>
            <w:tcW w:w="631" w:type="pct"/>
            <w:hideMark/>
          </w:tcPr>
          <w:p w14:paraId="604A490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Ventas F 2016</w:t>
            </w:r>
          </w:p>
        </w:tc>
      </w:tr>
      <w:tr w:rsidR="0094181E" w:rsidRPr="0094181E" w14:paraId="207C47FA"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60913BD6"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Andalucía</w:t>
            </w:r>
          </w:p>
        </w:tc>
        <w:tc>
          <w:tcPr>
            <w:tcW w:w="753" w:type="pct"/>
            <w:noWrap/>
            <w:hideMark/>
          </w:tcPr>
          <w:p w14:paraId="3EB15C3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3.575</w:t>
            </w:r>
          </w:p>
        </w:tc>
        <w:tc>
          <w:tcPr>
            <w:tcW w:w="766" w:type="pct"/>
            <w:noWrap/>
            <w:hideMark/>
          </w:tcPr>
          <w:p w14:paraId="352C14F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1.823,5</w:t>
            </w:r>
          </w:p>
        </w:tc>
        <w:tc>
          <w:tcPr>
            <w:tcW w:w="696" w:type="pct"/>
            <w:noWrap/>
            <w:hideMark/>
          </w:tcPr>
          <w:p w14:paraId="772CC67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3.879</w:t>
            </w:r>
          </w:p>
        </w:tc>
        <w:tc>
          <w:tcPr>
            <w:tcW w:w="559" w:type="pct"/>
            <w:noWrap/>
            <w:hideMark/>
          </w:tcPr>
          <w:p w14:paraId="0BC64CF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1.707,7</w:t>
            </w:r>
          </w:p>
        </w:tc>
        <w:tc>
          <w:tcPr>
            <w:tcW w:w="631" w:type="pct"/>
            <w:noWrap/>
            <w:hideMark/>
          </w:tcPr>
          <w:p w14:paraId="5183B79C"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510.070</w:t>
            </w:r>
          </w:p>
        </w:tc>
        <w:tc>
          <w:tcPr>
            <w:tcW w:w="631" w:type="pct"/>
            <w:noWrap/>
            <w:hideMark/>
          </w:tcPr>
          <w:p w14:paraId="4527BCA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440.242</w:t>
            </w:r>
          </w:p>
        </w:tc>
      </w:tr>
      <w:tr w:rsidR="0094181E" w:rsidRPr="0094181E" w14:paraId="6EB99ECD"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5AE21357"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Aragón</w:t>
            </w:r>
          </w:p>
        </w:tc>
        <w:tc>
          <w:tcPr>
            <w:tcW w:w="753" w:type="pct"/>
            <w:noWrap/>
            <w:hideMark/>
          </w:tcPr>
          <w:p w14:paraId="2E0CE26C"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709</w:t>
            </w:r>
          </w:p>
        </w:tc>
        <w:tc>
          <w:tcPr>
            <w:tcW w:w="766" w:type="pct"/>
            <w:noWrap/>
            <w:hideMark/>
          </w:tcPr>
          <w:p w14:paraId="3F571FB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350,5</w:t>
            </w:r>
          </w:p>
        </w:tc>
        <w:tc>
          <w:tcPr>
            <w:tcW w:w="696" w:type="pct"/>
            <w:noWrap/>
            <w:hideMark/>
          </w:tcPr>
          <w:p w14:paraId="0C680766"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735</w:t>
            </w:r>
          </w:p>
        </w:tc>
        <w:tc>
          <w:tcPr>
            <w:tcW w:w="559" w:type="pct"/>
            <w:noWrap/>
            <w:hideMark/>
          </w:tcPr>
          <w:p w14:paraId="0DF080B7"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316,4</w:t>
            </w:r>
          </w:p>
        </w:tc>
        <w:tc>
          <w:tcPr>
            <w:tcW w:w="631" w:type="pct"/>
            <w:noWrap/>
            <w:hideMark/>
          </w:tcPr>
          <w:p w14:paraId="5E86A9D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494.358</w:t>
            </w:r>
          </w:p>
        </w:tc>
        <w:tc>
          <w:tcPr>
            <w:tcW w:w="631" w:type="pct"/>
            <w:noWrap/>
            <w:hideMark/>
          </w:tcPr>
          <w:p w14:paraId="6F2EBA9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430.476</w:t>
            </w:r>
          </w:p>
        </w:tc>
      </w:tr>
      <w:tr w:rsidR="0094181E" w:rsidRPr="0094181E" w14:paraId="0813176B"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620E1E3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Asturias</w:t>
            </w:r>
          </w:p>
        </w:tc>
        <w:tc>
          <w:tcPr>
            <w:tcW w:w="753" w:type="pct"/>
            <w:noWrap/>
            <w:hideMark/>
          </w:tcPr>
          <w:p w14:paraId="52AA655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457</w:t>
            </w:r>
          </w:p>
        </w:tc>
        <w:tc>
          <w:tcPr>
            <w:tcW w:w="766" w:type="pct"/>
            <w:noWrap/>
            <w:hideMark/>
          </w:tcPr>
          <w:p w14:paraId="6DFFC03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317,1</w:t>
            </w:r>
          </w:p>
        </w:tc>
        <w:tc>
          <w:tcPr>
            <w:tcW w:w="696" w:type="pct"/>
            <w:noWrap/>
            <w:hideMark/>
          </w:tcPr>
          <w:p w14:paraId="077E85A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455</w:t>
            </w:r>
          </w:p>
        </w:tc>
        <w:tc>
          <w:tcPr>
            <w:tcW w:w="559" w:type="pct"/>
            <w:noWrap/>
            <w:hideMark/>
          </w:tcPr>
          <w:p w14:paraId="1BDA390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267,1</w:t>
            </w:r>
          </w:p>
        </w:tc>
        <w:tc>
          <w:tcPr>
            <w:tcW w:w="631" w:type="pct"/>
            <w:noWrap/>
            <w:hideMark/>
          </w:tcPr>
          <w:p w14:paraId="1DC98CF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693.873</w:t>
            </w:r>
          </w:p>
        </w:tc>
        <w:tc>
          <w:tcPr>
            <w:tcW w:w="631" w:type="pct"/>
            <w:noWrap/>
            <w:hideMark/>
          </w:tcPr>
          <w:p w14:paraId="5831C302"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587.033</w:t>
            </w:r>
          </w:p>
        </w:tc>
      </w:tr>
      <w:tr w:rsidR="0094181E" w:rsidRPr="0094181E" w14:paraId="138944DF"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5F7628B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Baleares</w:t>
            </w:r>
          </w:p>
        </w:tc>
        <w:tc>
          <w:tcPr>
            <w:tcW w:w="753" w:type="pct"/>
            <w:noWrap/>
            <w:hideMark/>
          </w:tcPr>
          <w:p w14:paraId="53056500"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420</w:t>
            </w:r>
          </w:p>
        </w:tc>
        <w:tc>
          <w:tcPr>
            <w:tcW w:w="766" w:type="pct"/>
            <w:noWrap/>
            <w:hideMark/>
          </w:tcPr>
          <w:p w14:paraId="11008D6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204,4</w:t>
            </w:r>
          </w:p>
        </w:tc>
        <w:tc>
          <w:tcPr>
            <w:tcW w:w="696" w:type="pct"/>
            <w:noWrap/>
            <w:hideMark/>
          </w:tcPr>
          <w:p w14:paraId="5D3CE76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436</w:t>
            </w:r>
          </w:p>
        </w:tc>
        <w:tc>
          <w:tcPr>
            <w:tcW w:w="559" w:type="pct"/>
            <w:noWrap/>
            <w:hideMark/>
          </w:tcPr>
          <w:p w14:paraId="04855AF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189,7</w:t>
            </w:r>
          </w:p>
        </w:tc>
        <w:tc>
          <w:tcPr>
            <w:tcW w:w="631" w:type="pct"/>
            <w:noWrap/>
            <w:hideMark/>
          </w:tcPr>
          <w:p w14:paraId="0AFF90B2"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486.667</w:t>
            </w:r>
          </w:p>
        </w:tc>
        <w:tc>
          <w:tcPr>
            <w:tcW w:w="631" w:type="pct"/>
            <w:noWrap/>
            <w:hideMark/>
          </w:tcPr>
          <w:p w14:paraId="095EC3C6"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435.092</w:t>
            </w:r>
          </w:p>
        </w:tc>
      </w:tr>
      <w:tr w:rsidR="0094181E" w:rsidRPr="0094181E" w14:paraId="5D6EFAE3"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1423CC7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Canarias</w:t>
            </w:r>
          </w:p>
        </w:tc>
        <w:tc>
          <w:tcPr>
            <w:tcW w:w="753" w:type="pct"/>
            <w:noWrap/>
            <w:hideMark/>
          </w:tcPr>
          <w:p w14:paraId="3C68E16E"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706</w:t>
            </w:r>
          </w:p>
        </w:tc>
        <w:tc>
          <w:tcPr>
            <w:tcW w:w="766" w:type="pct"/>
            <w:noWrap/>
            <w:hideMark/>
          </w:tcPr>
          <w:p w14:paraId="1E9D02C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487,4</w:t>
            </w:r>
          </w:p>
        </w:tc>
        <w:tc>
          <w:tcPr>
            <w:tcW w:w="696" w:type="pct"/>
            <w:noWrap/>
            <w:hideMark/>
          </w:tcPr>
          <w:p w14:paraId="087FEFD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706</w:t>
            </w:r>
          </w:p>
        </w:tc>
        <w:tc>
          <w:tcPr>
            <w:tcW w:w="559" w:type="pct"/>
            <w:noWrap/>
            <w:hideMark/>
          </w:tcPr>
          <w:p w14:paraId="2F20243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453,6</w:t>
            </w:r>
          </w:p>
        </w:tc>
        <w:tc>
          <w:tcPr>
            <w:tcW w:w="631" w:type="pct"/>
            <w:noWrap/>
            <w:hideMark/>
          </w:tcPr>
          <w:p w14:paraId="7F1AB63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690.368</w:t>
            </w:r>
          </w:p>
        </w:tc>
        <w:tc>
          <w:tcPr>
            <w:tcW w:w="631" w:type="pct"/>
            <w:noWrap/>
            <w:hideMark/>
          </w:tcPr>
          <w:p w14:paraId="3ECD1A1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642.493</w:t>
            </w:r>
          </w:p>
        </w:tc>
      </w:tr>
      <w:tr w:rsidR="0094181E" w:rsidRPr="0094181E" w14:paraId="647BAA1C"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059BAD16"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Cantabria</w:t>
            </w:r>
          </w:p>
        </w:tc>
        <w:tc>
          <w:tcPr>
            <w:tcW w:w="753" w:type="pct"/>
            <w:noWrap/>
            <w:hideMark/>
          </w:tcPr>
          <w:p w14:paraId="404BD792"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255</w:t>
            </w:r>
          </w:p>
        </w:tc>
        <w:tc>
          <w:tcPr>
            <w:tcW w:w="766" w:type="pct"/>
            <w:noWrap/>
            <w:hideMark/>
          </w:tcPr>
          <w:p w14:paraId="3899C6D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141,3</w:t>
            </w:r>
          </w:p>
        </w:tc>
        <w:tc>
          <w:tcPr>
            <w:tcW w:w="696" w:type="pct"/>
            <w:noWrap/>
            <w:hideMark/>
          </w:tcPr>
          <w:p w14:paraId="7E6D2467"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254</w:t>
            </w:r>
          </w:p>
        </w:tc>
        <w:tc>
          <w:tcPr>
            <w:tcW w:w="559" w:type="pct"/>
            <w:noWrap/>
            <w:hideMark/>
          </w:tcPr>
          <w:p w14:paraId="3C1A738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137,0</w:t>
            </w:r>
          </w:p>
        </w:tc>
        <w:tc>
          <w:tcPr>
            <w:tcW w:w="631" w:type="pct"/>
            <w:noWrap/>
            <w:hideMark/>
          </w:tcPr>
          <w:p w14:paraId="5DCE383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554.118</w:t>
            </w:r>
          </w:p>
        </w:tc>
        <w:tc>
          <w:tcPr>
            <w:tcW w:w="631" w:type="pct"/>
            <w:noWrap/>
            <w:hideMark/>
          </w:tcPr>
          <w:p w14:paraId="4B50593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539.370</w:t>
            </w:r>
          </w:p>
        </w:tc>
      </w:tr>
      <w:tr w:rsidR="0094181E" w:rsidRPr="0094181E" w14:paraId="1C3E1C6D"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7739DC2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Castilla y León</w:t>
            </w:r>
          </w:p>
        </w:tc>
        <w:tc>
          <w:tcPr>
            <w:tcW w:w="753" w:type="pct"/>
            <w:noWrap/>
            <w:hideMark/>
          </w:tcPr>
          <w:p w14:paraId="01C0625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1.633</w:t>
            </w:r>
          </w:p>
        </w:tc>
        <w:tc>
          <w:tcPr>
            <w:tcW w:w="766" w:type="pct"/>
            <w:noWrap/>
            <w:hideMark/>
          </w:tcPr>
          <w:p w14:paraId="4C88B1A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664,2</w:t>
            </w:r>
          </w:p>
        </w:tc>
        <w:tc>
          <w:tcPr>
            <w:tcW w:w="696" w:type="pct"/>
            <w:noWrap/>
            <w:hideMark/>
          </w:tcPr>
          <w:p w14:paraId="3313AFD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1.628</w:t>
            </w:r>
          </w:p>
        </w:tc>
        <w:tc>
          <w:tcPr>
            <w:tcW w:w="559" w:type="pct"/>
            <w:noWrap/>
            <w:hideMark/>
          </w:tcPr>
          <w:p w14:paraId="154E35C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572,6</w:t>
            </w:r>
          </w:p>
        </w:tc>
        <w:tc>
          <w:tcPr>
            <w:tcW w:w="631" w:type="pct"/>
            <w:noWrap/>
            <w:hideMark/>
          </w:tcPr>
          <w:p w14:paraId="74720F9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406.736</w:t>
            </w:r>
          </w:p>
        </w:tc>
        <w:tc>
          <w:tcPr>
            <w:tcW w:w="631" w:type="pct"/>
            <w:noWrap/>
            <w:hideMark/>
          </w:tcPr>
          <w:p w14:paraId="56CD478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351.720</w:t>
            </w:r>
          </w:p>
        </w:tc>
      </w:tr>
      <w:tr w:rsidR="0094181E" w:rsidRPr="0094181E" w14:paraId="7EA28E33"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15D54A4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Castila L- Mancha</w:t>
            </w:r>
          </w:p>
        </w:tc>
        <w:tc>
          <w:tcPr>
            <w:tcW w:w="753" w:type="pct"/>
            <w:noWrap/>
            <w:hideMark/>
          </w:tcPr>
          <w:p w14:paraId="328F66F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1.274</w:t>
            </w:r>
          </w:p>
        </w:tc>
        <w:tc>
          <w:tcPr>
            <w:tcW w:w="766" w:type="pct"/>
            <w:noWrap/>
            <w:hideMark/>
          </w:tcPr>
          <w:p w14:paraId="426E4ED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539,0</w:t>
            </w:r>
          </w:p>
        </w:tc>
        <w:tc>
          <w:tcPr>
            <w:tcW w:w="696" w:type="pct"/>
            <w:noWrap/>
            <w:hideMark/>
          </w:tcPr>
          <w:p w14:paraId="1CD3C65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1.270</w:t>
            </w:r>
          </w:p>
        </w:tc>
        <w:tc>
          <w:tcPr>
            <w:tcW w:w="559" w:type="pct"/>
            <w:noWrap/>
            <w:hideMark/>
          </w:tcPr>
          <w:p w14:paraId="036D5DA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480,7</w:t>
            </w:r>
          </w:p>
        </w:tc>
        <w:tc>
          <w:tcPr>
            <w:tcW w:w="631" w:type="pct"/>
            <w:noWrap/>
            <w:hideMark/>
          </w:tcPr>
          <w:p w14:paraId="15AE021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423.077</w:t>
            </w:r>
          </w:p>
        </w:tc>
        <w:tc>
          <w:tcPr>
            <w:tcW w:w="631" w:type="pct"/>
            <w:noWrap/>
            <w:hideMark/>
          </w:tcPr>
          <w:p w14:paraId="4F9412D0"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378.504</w:t>
            </w:r>
          </w:p>
        </w:tc>
      </w:tr>
      <w:tr w:rsidR="0094181E" w:rsidRPr="0094181E" w14:paraId="7F6FFFBE"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3D36362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Cataluña</w:t>
            </w:r>
          </w:p>
        </w:tc>
        <w:tc>
          <w:tcPr>
            <w:tcW w:w="753" w:type="pct"/>
            <w:noWrap/>
            <w:hideMark/>
          </w:tcPr>
          <w:p w14:paraId="63C891A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3.089</w:t>
            </w:r>
          </w:p>
        </w:tc>
        <w:tc>
          <w:tcPr>
            <w:tcW w:w="766" w:type="pct"/>
            <w:noWrap/>
            <w:hideMark/>
          </w:tcPr>
          <w:p w14:paraId="20883D1C"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1.682,5</w:t>
            </w:r>
          </w:p>
        </w:tc>
        <w:tc>
          <w:tcPr>
            <w:tcW w:w="696" w:type="pct"/>
            <w:noWrap/>
            <w:hideMark/>
          </w:tcPr>
          <w:p w14:paraId="259D30A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3.180</w:t>
            </w:r>
          </w:p>
        </w:tc>
        <w:tc>
          <w:tcPr>
            <w:tcW w:w="559" w:type="pct"/>
            <w:noWrap/>
            <w:hideMark/>
          </w:tcPr>
          <w:p w14:paraId="1A60CD4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1.385,7</w:t>
            </w:r>
          </w:p>
        </w:tc>
        <w:tc>
          <w:tcPr>
            <w:tcW w:w="631" w:type="pct"/>
            <w:noWrap/>
            <w:hideMark/>
          </w:tcPr>
          <w:p w14:paraId="0EAF659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544.675</w:t>
            </w:r>
          </w:p>
        </w:tc>
        <w:tc>
          <w:tcPr>
            <w:tcW w:w="631" w:type="pct"/>
            <w:noWrap/>
            <w:hideMark/>
          </w:tcPr>
          <w:p w14:paraId="79D870E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435.755</w:t>
            </w:r>
          </w:p>
        </w:tc>
      </w:tr>
      <w:tr w:rsidR="0094181E" w:rsidRPr="0094181E" w14:paraId="567B7541"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06B3144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C. Valenciana</w:t>
            </w:r>
          </w:p>
        </w:tc>
        <w:tc>
          <w:tcPr>
            <w:tcW w:w="753" w:type="pct"/>
            <w:noWrap/>
            <w:hideMark/>
          </w:tcPr>
          <w:p w14:paraId="1F1DFC87"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2.285</w:t>
            </w:r>
          </w:p>
        </w:tc>
        <w:tc>
          <w:tcPr>
            <w:tcW w:w="766" w:type="pct"/>
            <w:noWrap/>
            <w:hideMark/>
          </w:tcPr>
          <w:p w14:paraId="5C6D8FD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1.406,6</w:t>
            </w:r>
          </w:p>
        </w:tc>
        <w:tc>
          <w:tcPr>
            <w:tcW w:w="696" w:type="pct"/>
            <w:noWrap/>
            <w:hideMark/>
          </w:tcPr>
          <w:p w14:paraId="72354D2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2.358</w:t>
            </w:r>
          </w:p>
        </w:tc>
        <w:tc>
          <w:tcPr>
            <w:tcW w:w="559" w:type="pct"/>
            <w:noWrap/>
            <w:hideMark/>
          </w:tcPr>
          <w:p w14:paraId="01DCD32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1.208,8</w:t>
            </w:r>
          </w:p>
        </w:tc>
        <w:tc>
          <w:tcPr>
            <w:tcW w:w="631" w:type="pct"/>
            <w:noWrap/>
            <w:hideMark/>
          </w:tcPr>
          <w:p w14:paraId="0F9CD22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615.580</w:t>
            </w:r>
          </w:p>
        </w:tc>
        <w:tc>
          <w:tcPr>
            <w:tcW w:w="631" w:type="pct"/>
            <w:noWrap/>
            <w:hideMark/>
          </w:tcPr>
          <w:p w14:paraId="0E365C3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512.638</w:t>
            </w:r>
          </w:p>
        </w:tc>
      </w:tr>
      <w:tr w:rsidR="0094181E" w:rsidRPr="0094181E" w14:paraId="7D37739B"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594E13F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Extremadura</w:t>
            </w:r>
          </w:p>
        </w:tc>
        <w:tc>
          <w:tcPr>
            <w:tcW w:w="753" w:type="pct"/>
            <w:noWrap/>
            <w:hideMark/>
          </w:tcPr>
          <w:p w14:paraId="2360739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676</w:t>
            </w:r>
          </w:p>
        </w:tc>
        <w:tc>
          <w:tcPr>
            <w:tcW w:w="766" w:type="pct"/>
            <w:noWrap/>
            <w:hideMark/>
          </w:tcPr>
          <w:p w14:paraId="463E928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329,4</w:t>
            </w:r>
          </w:p>
        </w:tc>
        <w:tc>
          <w:tcPr>
            <w:tcW w:w="696" w:type="pct"/>
            <w:noWrap/>
            <w:hideMark/>
          </w:tcPr>
          <w:p w14:paraId="698789B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671</w:t>
            </w:r>
          </w:p>
        </w:tc>
        <w:tc>
          <w:tcPr>
            <w:tcW w:w="559" w:type="pct"/>
            <w:noWrap/>
            <w:hideMark/>
          </w:tcPr>
          <w:p w14:paraId="0FBA774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311,5</w:t>
            </w:r>
          </w:p>
        </w:tc>
        <w:tc>
          <w:tcPr>
            <w:tcW w:w="631" w:type="pct"/>
            <w:noWrap/>
            <w:hideMark/>
          </w:tcPr>
          <w:p w14:paraId="7F7E1A0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487.278</w:t>
            </w:r>
          </w:p>
        </w:tc>
        <w:tc>
          <w:tcPr>
            <w:tcW w:w="631" w:type="pct"/>
            <w:noWrap/>
            <w:hideMark/>
          </w:tcPr>
          <w:p w14:paraId="23B8A24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464.232</w:t>
            </w:r>
          </w:p>
        </w:tc>
      </w:tr>
      <w:tr w:rsidR="0094181E" w:rsidRPr="0094181E" w14:paraId="4BCCA714"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535B096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Galicia</w:t>
            </w:r>
          </w:p>
        </w:tc>
        <w:tc>
          <w:tcPr>
            <w:tcW w:w="753" w:type="pct"/>
            <w:noWrap/>
            <w:hideMark/>
          </w:tcPr>
          <w:p w14:paraId="6683A2AE"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1.340</w:t>
            </w:r>
          </w:p>
        </w:tc>
        <w:tc>
          <w:tcPr>
            <w:tcW w:w="766" w:type="pct"/>
            <w:noWrap/>
            <w:hideMark/>
          </w:tcPr>
          <w:p w14:paraId="6304E23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829,1</w:t>
            </w:r>
          </w:p>
        </w:tc>
        <w:tc>
          <w:tcPr>
            <w:tcW w:w="696" w:type="pct"/>
            <w:noWrap/>
            <w:hideMark/>
          </w:tcPr>
          <w:p w14:paraId="4D68807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1.345</w:t>
            </w:r>
          </w:p>
        </w:tc>
        <w:tc>
          <w:tcPr>
            <w:tcW w:w="559" w:type="pct"/>
            <w:noWrap/>
            <w:hideMark/>
          </w:tcPr>
          <w:p w14:paraId="3D14956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685,0</w:t>
            </w:r>
          </w:p>
        </w:tc>
        <w:tc>
          <w:tcPr>
            <w:tcW w:w="631" w:type="pct"/>
            <w:noWrap/>
            <w:hideMark/>
          </w:tcPr>
          <w:p w14:paraId="59B4007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618.731</w:t>
            </w:r>
          </w:p>
        </w:tc>
        <w:tc>
          <w:tcPr>
            <w:tcW w:w="631" w:type="pct"/>
            <w:noWrap/>
            <w:hideMark/>
          </w:tcPr>
          <w:p w14:paraId="69826E4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509.294</w:t>
            </w:r>
          </w:p>
        </w:tc>
      </w:tr>
      <w:tr w:rsidR="0094181E" w:rsidRPr="0094181E" w14:paraId="60471BE7"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05328096"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Madrid</w:t>
            </w:r>
          </w:p>
        </w:tc>
        <w:tc>
          <w:tcPr>
            <w:tcW w:w="753" w:type="pct"/>
            <w:noWrap/>
            <w:hideMark/>
          </w:tcPr>
          <w:p w14:paraId="7D7BB78E"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2.821</w:t>
            </w:r>
          </w:p>
        </w:tc>
        <w:tc>
          <w:tcPr>
            <w:tcW w:w="766" w:type="pct"/>
            <w:noWrap/>
            <w:hideMark/>
          </w:tcPr>
          <w:p w14:paraId="0E3DC437"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1.185,7</w:t>
            </w:r>
          </w:p>
        </w:tc>
        <w:tc>
          <w:tcPr>
            <w:tcW w:w="696" w:type="pct"/>
            <w:noWrap/>
            <w:hideMark/>
          </w:tcPr>
          <w:p w14:paraId="729D2EB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2.852</w:t>
            </w:r>
          </w:p>
        </w:tc>
        <w:tc>
          <w:tcPr>
            <w:tcW w:w="559" w:type="pct"/>
            <w:noWrap/>
            <w:hideMark/>
          </w:tcPr>
          <w:p w14:paraId="13173B2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1.151,9</w:t>
            </w:r>
          </w:p>
        </w:tc>
        <w:tc>
          <w:tcPr>
            <w:tcW w:w="631" w:type="pct"/>
            <w:noWrap/>
            <w:hideMark/>
          </w:tcPr>
          <w:p w14:paraId="7D44A15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420.312</w:t>
            </w:r>
          </w:p>
        </w:tc>
        <w:tc>
          <w:tcPr>
            <w:tcW w:w="631" w:type="pct"/>
            <w:noWrap/>
            <w:hideMark/>
          </w:tcPr>
          <w:p w14:paraId="4CEDF7C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403.892</w:t>
            </w:r>
          </w:p>
        </w:tc>
      </w:tr>
      <w:tr w:rsidR="0094181E" w:rsidRPr="0094181E" w14:paraId="267413CA"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230656DE"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Murcia</w:t>
            </w:r>
          </w:p>
        </w:tc>
        <w:tc>
          <w:tcPr>
            <w:tcW w:w="753" w:type="pct"/>
            <w:noWrap/>
            <w:hideMark/>
          </w:tcPr>
          <w:p w14:paraId="453F565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561</w:t>
            </w:r>
          </w:p>
        </w:tc>
        <w:tc>
          <w:tcPr>
            <w:tcW w:w="766" w:type="pct"/>
            <w:noWrap/>
            <w:hideMark/>
          </w:tcPr>
          <w:p w14:paraId="29E043B0"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385,7</w:t>
            </w:r>
          </w:p>
        </w:tc>
        <w:tc>
          <w:tcPr>
            <w:tcW w:w="696" w:type="pct"/>
            <w:noWrap/>
            <w:hideMark/>
          </w:tcPr>
          <w:p w14:paraId="1B9188F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567</w:t>
            </w:r>
          </w:p>
        </w:tc>
        <w:tc>
          <w:tcPr>
            <w:tcW w:w="559" w:type="pct"/>
            <w:noWrap/>
            <w:hideMark/>
          </w:tcPr>
          <w:p w14:paraId="3941016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336,1</w:t>
            </w:r>
          </w:p>
        </w:tc>
        <w:tc>
          <w:tcPr>
            <w:tcW w:w="631" w:type="pct"/>
            <w:noWrap/>
            <w:hideMark/>
          </w:tcPr>
          <w:p w14:paraId="0DE01F7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687.522</w:t>
            </w:r>
          </w:p>
        </w:tc>
        <w:tc>
          <w:tcPr>
            <w:tcW w:w="631" w:type="pct"/>
            <w:noWrap/>
            <w:hideMark/>
          </w:tcPr>
          <w:p w14:paraId="6A24F266"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592.769</w:t>
            </w:r>
          </w:p>
        </w:tc>
      </w:tr>
      <w:tr w:rsidR="0094181E" w:rsidRPr="0094181E" w14:paraId="7FE7ADD7"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4E27F2F7"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Navarra</w:t>
            </w:r>
          </w:p>
        </w:tc>
        <w:tc>
          <w:tcPr>
            <w:tcW w:w="753" w:type="pct"/>
            <w:noWrap/>
            <w:hideMark/>
          </w:tcPr>
          <w:p w14:paraId="6DA0CB9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601</w:t>
            </w:r>
          </w:p>
        </w:tc>
        <w:tc>
          <w:tcPr>
            <w:tcW w:w="766" w:type="pct"/>
            <w:noWrap/>
            <w:hideMark/>
          </w:tcPr>
          <w:p w14:paraId="4CB036B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148,2</w:t>
            </w:r>
          </w:p>
        </w:tc>
        <w:tc>
          <w:tcPr>
            <w:tcW w:w="696" w:type="pct"/>
            <w:noWrap/>
            <w:hideMark/>
          </w:tcPr>
          <w:p w14:paraId="1F305E9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600</w:t>
            </w:r>
          </w:p>
        </w:tc>
        <w:tc>
          <w:tcPr>
            <w:tcW w:w="559" w:type="pct"/>
            <w:noWrap/>
            <w:hideMark/>
          </w:tcPr>
          <w:p w14:paraId="1DAA1C67"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134,0</w:t>
            </w:r>
          </w:p>
        </w:tc>
        <w:tc>
          <w:tcPr>
            <w:tcW w:w="631" w:type="pct"/>
            <w:noWrap/>
            <w:hideMark/>
          </w:tcPr>
          <w:p w14:paraId="221068D2"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246.589</w:t>
            </w:r>
          </w:p>
        </w:tc>
        <w:tc>
          <w:tcPr>
            <w:tcW w:w="631" w:type="pct"/>
            <w:noWrap/>
            <w:hideMark/>
          </w:tcPr>
          <w:p w14:paraId="6A920C1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223.333</w:t>
            </w:r>
          </w:p>
        </w:tc>
      </w:tr>
      <w:tr w:rsidR="0094181E" w:rsidRPr="0094181E" w14:paraId="0A041F67"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7605143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País Vasco</w:t>
            </w:r>
          </w:p>
        </w:tc>
        <w:tc>
          <w:tcPr>
            <w:tcW w:w="753" w:type="pct"/>
            <w:noWrap/>
            <w:hideMark/>
          </w:tcPr>
          <w:p w14:paraId="3BE5F07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823</w:t>
            </w:r>
          </w:p>
        </w:tc>
        <w:tc>
          <w:tcPr>
            <w:tcW w:w="766" w:type="pct"/>
            <w:noWrap/>
            <w:hideMark/>
          </w:tcPr>
          <w:p w14:paraId="7F47587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534,2</w:t>
            </w:r>
          </w:p>
        </w:tc>
        <w:tc>
          <w:tcPr>
            <w:tcW w:w="696" w:type="pct"/>
            <w:noWrap/>
            <w:hideMark/>
          </w:tcPr>
          <w:p w14:paraId="6F1935B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831</w:t>
            </w:r>
          </w:p>
        </w:tc>
        <w:tc>
          <w:tcPr>
            <w:tcW w:w="559" w:type="pct"/>
            <w:noWrap/>
            <w:hideMark/>
          </w:tcPr>
          <w:p w14:paraId="352E130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475,3</w:t>
            </w:r>
          </w:p>
        </w:tc>
        <w:tc>
          <w:tcPr>
            <w:tcW w:w="631" w:type="pct"/>
            <w:noWrap/>
            <w:hideMark/>
          </w:tcPr>
          <w:p w14:paraId="439CEF40"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649.089</w:t>
            </w:r>
          </w:p>
        </w:tc>
        <w:tc>
          <w:tcPr>
            <w:tcW w:w="631" w:type="pct"/>
            <w:noWrap/>
            <w:hideMark/>
          </w:tcPr>
          <w:p w14:paraId="76933FD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571.961</w:t>
            </w:r>
          </w:p>
        </w:tc>
      </w:tr>
      <w:tr w:rsidR="0094181E" w:rsidRPr="0094181E" w14:paraId="70D061BA"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5B356A3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Rioja</w:t>
            </w:r>
          </w:p>
        </w:tc>
        <w:tc>
          <w:tcPr>
            <w:tcW w:w="753" w:type="pct"/>
            <w:noWrap/>
            <w:hideMark/>
          </w:tcPr>
          <w:p w14:paraId="2B398C5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156</w:t>
            </w:r>
          </w:p>
        </w:tc>
        <w:tc>
          <w:tcPr>
            <w:tcW w:w="766" w:type="pct"/>
            <w:noWrap/>
            <w:hideMark/>
          </w:tcPr>
          <w:p w14:paraId="59CA9C5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79,2</w:t>
            </w:r>
          </w:p>
        </w:tc>
        <w:tc>
          <w:tcPr>
            <w:tcW w:w="696" w:type="pct"/>
            <w:noWrap/>
            <w:hideMark/>
          </w:tcPr>
          <w:p w14:paraId="4CDC4CD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155</w:t>
            </w:r>
          </w:p>
        </w:tc>
        <w:tc>
          <w:tcPr>
            <w:tcW w:w="559" w:type="pct"/>
            <w:noWrap/>
            <w:hideMark/>
          </w:tcPr>
          <w:p w14:paraId="3A7C6D0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70,5</w:t>
            </w:r>
          </w:p>
        </w:tc>
        <w:tc>
          <w:tcPr>
            <w:tcW w:w="631" w:type="pct"/>
            <w:noWrap/>
            <w:hideMark/>
          </w:tcPr>
          <w:p w14:paraId="52709E95"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507.692</w:t>
            </w:r>
          </w:p>
        </w:tc>
        <w:tc>
          <w:tcPr>
            <w:tcW w:w="631" w:type="pct"/>
            <w:noWrap/>
            <w:hideMark/>
          </w:tcPr>
          <w:p w14:paraId="4580949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454.839</w:t>
            </w:r>
          </w:p>
        </w:tc>
      </w:tr>
      <w:tr w:rsidR="0094181E" w:rsidRPr="0094181E" w14:paraId="1D5CF8BB"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054221B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Ceuta</w:t>
            </w:r>
          </w:p>
        </w:tc>
        <w:tc>
          <w:tcPr>
            <w:tcW w:w="753" w:type="pct"/>
            <w:noWrap/>
            <w:hideMark/>
          </w:tcPr>
          <w:p w14:paraId="55146124"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24</w:t>
            </w:r>
          </w:p>
        </w:tc>
        <w:tc>
          <w:tcPr>
            <w:tcW w:w="766" w:type="pct"/>
            <w:noWrap/>
            <w:hideMark/>
          </w:tcPr>
          <w:p w14:paraId="09DF7EFE"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14,3</w:t>
            </w:r>
          </w:p>
        </w:tc>
        <w:tc>
          <w:tcPr>
            <w:tcW w:w="696" w:type="pct"/>
            <w:noWrap/>
            <w:hideMark/>
          </w:tcPr>
          <w:p w14:paraId="5E1792B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24</w:t>
            </w:r>
          </w:p>
        </w:tc>
        <w:tc>
          <w:tcPr>
            <w:tcW w:w="559" w:type="pct"/>
            <w:noWrap/>
            <w:hideMark/>
          </w:tcPr>
          <w:p w14:paraId="49654CE7"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14,9</w:t>
            </w:r>
          </w:p>
        </w:tc>
        <w:tc>
          <w:tcPr>
            <w:tcW w:w="631" w:type="pct"/>
            <w:noWrap/>
            <w:hideMark/>
          </w:tcPr>
          <w:p w14:paraId="4E44178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595.833</w:t>
            </w:r>
          </w:p>
        </w:tc>
        <w:tc>
          <w:tcPr>
            <w:tcW w:w="631" w:type="pct"/>
            <w:noWrap/>
            <w:hideMark/>
          </w:tcPr>
          <w:p w14:paraId="254684A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620.833</w:t>
            </w:r>
          </w:p>
        </w:tc>
      </w:tr>
      <w:tr w:rsidR="0094181E" w:rsidRPr="0094181E" w14:paraId="2687EDB7" w14:textId="77777777" w:rsidTr="009418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12BED88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Melilla</w:t>
            </w:r>
          </w:p>
        </w:tc>
        <w:tc>
          <w:tcPr>
            <w:tcW w:w="753" w:type="pct"/>
            <w:noWrap/>
            <w:hideMark/>
          </w:tcPr>
          <w:p w14:paraId="3E858E88"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22</w:t>
            </w:r>
          </w:p>
        </w:tc>
        <w:tc>
          <w:tcPr>
            <w:tcW w:w="766" w:type="pct"/>
            <w:noWrap/>
            <w:hideMark/>
          </w:tcPr>
          <w:p w14:paraId="24B9C8EE"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12,0</w:t>
            </w:r>
          </w:p>
        </w:tc>
        <w:tc>
          <w:tcPr>
            <w:tcW w:w="696" w:type="pct"/>
            <w:noWrap/>
            <w:hideMark/>
          </w:tcPr>
          <w:p w14:paraId="065E1DEB"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22</w:t>
            </w:r>
          </w:p>
        </w:tc>
        <w:tc>
          <w:tcPr>
            <w:tcW w:w="559" w:type="pct"/>
            <w:noWrap/>
            <w:hideMark/>
          </w:tcPr>
          <w:p w14:paraId="63AE7079"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13,3</w:t>
            </w:r>
          </w:p>
        </w:tc>
        <w:tc>
          <w:tcPr>
            <w:tcW w:w="631" w:type="pct"/>
            <w:noWrap/>
            <w:hideMark/>
          </w:tcPr>
          <w:p w14:paraId="361DC353"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545.455</w:t>
            </w:r>
          </w:p>
        </w:tc>
        <w:tc>
          <w:tcPr>
            <w:tcW w:w="631" w:type="pct"/>
            <w:noWrap/>
            <w:hideMark/>
          </w:tcPr>
          <w:p w14:paraId="2EDB1A2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604.545</w:t>
            </w:r>
          </w:p>
        </w:tc>
      </w:tr>
      <w:tr w:rsidR="0094181E" w:rsidRPr="0094181E" w14:paraId="22FC9170" w14:textId="77777777" w:rsidTr="0094181E">
        <w:trPr>
          <w:trHeight w:val="300"/>
        </w:trPr>
        <w:tc>
          <w:tcPr>
            <w:cnfStyle w:val="001000000000" w:firstRow="0" w:lastRow="0" w:firstColumn="1" w:lastColumn="0" w:oddVBand="0" w:evenVBand="0" w:oddHBand="0" w:evenHBand="0" w:firstRowFirstColumn="0" w:firstRowLastColumn="0" w:lastRowFirstColumn="0" w:lastRowLastColumn="0"/>
            <w:tcW w:w="965" w:type="pct"/>
            <w:noWrap/>
            <w:hideMark/>
          </w:tcPr>
          <w:p w14:paraId="47B75641"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s-ES" w:eastAsia="es-ES"/>
              </w:rPr>
            </w:pPr>
            <w:r w:rsidRPr="0094181E">
              <w:rPr>
                <w:rFonts w:ascii="Calibri" w:eastAsia="Times New Roman" w:hAnsi="Calibri" w:cs="Calibri"/>
                <w:sz w:val="22"/>
                <w:szCs w:val="22"/>
                <w:bdr w:val="none" w:sz="0" w:space="0" w:color="auto"/>
                <w:lang w:val="es-ES" w:eastAsia="es-ES"/>
              </w:rPr>
              <w:t>Total</w:t>
            </w:r>
          </w:p>
        </w:tc>
        <w:tc>
          <w:tcPr>
            <w:tcW w:w="753" w:type="pct"/>
            <w:noWrap/>
            <w:hideMark/>
          </w:tcPr>
          <w:p w14:paraId="5F74CE1C"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21.427</w:t>
            </w:r>
          </w:p>
        </w:tc>
        <w:tc>
          <w:tcPr>
            <w:tcW w:w="766" w:type="pct"/>
            <w:noWrap/>
            <w:hideMark/>
          </w:tcPr>
          <w:p w14:paraId="1F13E17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11.135,4</w:t>
            </w:r>
          </w:p>
        </w:tc>
        <w:tc>
          <w:tcPr>
            <w:tcW w:w="696" w:type="pct"/>
            <w:noWrap/>
            <w:hideMark/>
          </w:tcPr>
          <w:p w14:paraId="58BE3FAA"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21.968</w:t>
            </w:r>
          </w:p>
        </w:tc>
        <w:tc>
          <w:tcPr>
            <w:tcW w:w="559" w:type="pct"/>
            <w:noWrap/>
            <w:hideMark/>
          </w:tcPr>
          <w:p w14:paraId="159D52FF"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9.912,7</w:t>
            </w:r>
          </w:p>
        </w:tc>
        <w:tc>
          <w:tcPr>
            <w:tcW w:w="631" w:type="pct"/>
            <w:noWrap/>
            <w:hideMark/>
          </w:tcPr>
          <w:p w14:paraId="4F85CC3D"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519.690</w:t>
            </w:r>
          </w:p>
        </w:tc>
        <w:tc>
          <w:tcPr>
            <w:tcW w:w="631" w:type="pct"/>
            <w:noWrap/>
            <w:hideMark/>
          </w:tcPr>
          <w:p w14:paraId="5AF92490" w14:textId="77777777" w:rsidR="0094181E" w:rsidRPr="0094181E" w:rsidRDefault="0094181E" w:rsidP="0094181E">
            <w:pPr>
              <w:pBdr>
                <w:top w:val="none" w:sz="0" w:space="0" w:color="auto"/>
                <w:left w:val="none" w:sz="0" w:space="0" w:color="auto"/>
                <w:bottom w:val="none" w:sz="0" w:space="0" w:color="auto"/>
                <w:right w:val="none" w:sz="0" w:space="0" w:color="auto"/>
                <w:between w:val="none" w:sz="0" w:space="0" w:color="auto"/>
                <w:bar w:val="none" w:sz="0" w:color="auto"/>
              </w:pBd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bdr w:val="none" w:sz="0" w:space="0" w:color="auto"/>
                <w:lang w:val="es-ES" w:eastAsia="es-ES"/>
              </w:rPr>
            </w:pPr>
            <w:r w:rsidRPr="0094181E">
              <w:rPr>
                <w:rFonts w:ascii="Calibri" w:eastAsia="Times New Roman" w:hAnsi="Calibri" w:cs="Calibri"/>
                <w:color w:val="000000"/>
                <w:sz w:val="22"/>
                <w:szCs w:val="22"/>
                <w:bdr w:val="none" w:sz="0" w:space="0" w:color="auto"/>
                <w:lang w:val="es-ES" w:eastAsia="es-ES"/>
              </w:rPr>
              <w:t>451.234</w:t>
            </w:r>
          </w:p>
        </w:tc>
      </w:tr>
    </w:tbl>
    <w:p w14:paraId="4E644975" w14:textId="77777777" w:rsidR="00CD22A3" w:rsidRPr="00CD22A3" w:rsidRDefault="00CD22A3">
      <w:pPr>
        <w:pStyle w:val="Cuerpo"/>
        <w:jc w:val="both"/>
        <w:rPr>
          <w:rStyle w:val="Ninguno"/>
          <w:rFonts w:ascii="Arial Black" w:hAnsi="Arial Black"/>
          <w:color w:val="auto"/>
          <w:sz w:val="28"/>
          <w:szCs w:val="28"/>
          <w:u w:color="008080"/>
        </w:rPr>
      </w:pPr>
    </w:p>
    <w:p w14:paraId="7862EA30" w14:textId="77777777" w:rsidR="005A5E3B" w:rsidRPr="00053930" w:rsidRDefault="005A5E3B">
      <w:pPr>
        <w:pStyle w:val="Cuerpo"/>
        <w:jc w:val="both"/>
        <w:rPr>
          <w:rStyle w:val="Ninguno"/>
          <w:color w:val="auto"/>
          <w:szCs w:val="28"/>
          <w:u w:color="008080"/>
        </w:rPr>
      </w:pPr>
    </w:p>
    <w:p w14:paraId="05BF27BB" w14:textId="77777777" w:rsidR="008C235E" w:rsidRDefault="009F246F">
      <w:pPr>
        <w:pStyle w:val="Cuerpo"/>
        <w:jc w:val="both"/>
        <w:rPr>
          <w:rStyle w:val="Ninguno"/>
          <w:rFonts w:ascii="Arial Black" w:hAnsi="Arial Black"/>
          <w:color w:val="008080"/>
          <w:sz w:val="28"/>
          <w:szCs w:val="28"/>
          <w:u w:color="008080"/>
        </w:rPr>
      </w:pPr>
      <w:r>
        <w:rPr>
          <w:rStyle w:val="Ninguno"/>
          <w:rFonts w:ascii="Arial Black" w:hAnsi="Arial Black"/>
          <w:color w:val="008080"/>
          <w:sz w:val="28"/>
          <w:szCs w:val="28"/>
          <w:u w:color="008080"/>
        </w:rPr>
        <w:t>Desigual distribución de la pérdida de ventas</w:t>
      </w:r>
    </w:p>
    <w:p w14:paraId="1163E0D1" w14:textId="77777777" w:rsidR="009F246F" w:rsidRDefault="009F246F">
      <w:pPr>
        <w:pStyle w:val="Cuerpo"/>
        <w:jc w:val="both"/>
        <w:rPr>
          <w:rStyle w:val="Ninguno"/>
          <w:rFonts w:ascii="Arial Black" w:hAnsi="Arial Black"/>
          <w:color w:val="008080"/>
          <w:sz w:val="28"/>
          <w:szCs w:val="28"/>
          <w:u w:color="008080"/>
        </w:rPr>
      </w:pPr>
    </w:p>
    <w:p w14:paraId="3FB46806" w14:textId="77777777" w:rsidR="00EB7268" w:rsidRPr="00EB7268" w:rsidRDefault="00EB7268">
      <w:pPr>
        <w:pStyle w:val="Cuerpo"/>
        <w:jc w:val="both"/>
        <w:rPr>
          <w:rStyle w:val="Ninguno"/>
          <w:color w:val="auto"/>
          <w:szCs w:val="28"/>
          <w:u w:color="008080"/>
        </w:rPr>
      </w:pPr>
      <w:r>
        <w:rPr>
          <w:rStyle w:val="Ninguno"/>
          <w:color w:val="auto"/>
          <w:szCs w:val="28"/>
          <w:u w:color="008080"/>
        </w:rPr>
        <w:t>La pérdida de ventas financiadas no ha seguido un patrón uniforme, dependiendo de las Comunidades Autónomas. Desde Ceuta y Melilla que han experimentado ascensos, hay comunidades como Cataluña, Galicia, Comunidad Valenciana y Asturias en las que la pérdida de ventas es superior a un 15%</w:t>
      </w:r>
      <w:r w:rsidR="00874650">
        <w:rPr>
          <w:rStyle w:val="Ninguno"/>
          <w:color w:val="auto"/>
          <w:szCs w:val="28"/>
          <w:u w:color="008080"/>
        </w:rPr>
        <w:t xml:space="preserve"> y han supuesto más de 100.000 euros por farmacia en 2016</w:t>
      </w:r>
      <w:r>
        <w:rPr>
          <w:rStyle w:val="Ninguno"/>
          <w:color w:val="auto"/>
          <w:szCs w:val="28"/>
          <w:u w:color="008080"/>
        </w:rPr>
        <w:t xml:space="preserve">, </w:t>
      </w:r>
      <w:r w:rsidR="00874650">
        <w:rPr>
          <w:rStyle w:val="Ninguno"/>
          <w:color w:val="auto"/>
          <w:szCs w:val="28"/>
          <w:u w:color="008080"/>
        </w:rPr>
        <w:t>mientras que las de menores pérdidas han sido Cantabria, Madrid y Extremadura, con menos de 20.000 euros por farmacia.</w:t>
      </w:r>
    </w:p>
    <w:p w14:paraId="07078D91" w14:textId="77777777" w:rsidR="009F246F" w:rsidRDefault="009F246F">
      <w:pPr>
        <w:pStyle w:val="Cuerpo"/>
        <w:jc w:val="both"/>
        <w:rPr>
          <w:rStyle w:val="Ninguno"/>
          <w:rFonts w:ascii="Arial Black" w:hAnsi="Arial Black"/>
          <w:color w:val="008080"/>
          <w:sz w:val="28"/>
          <w:szCs w:val="28"/>
          <w:u w:color="008080"/>
        </w:rPr>
      </w:pPr>
    </w:p>
    <w:p w14:paraId="47CEAFEB" w14:textId="77777777" w:rsidR="009F246F" w:rsidRDefault="009F246F" w:rsidP="009F246F">
      <w:pPr>
        <w:pStyle w:val="Cuerpo"/>
        <w:jc w:val="center"/>
        <w:rPr>
          <w:rStyle w:val="Ninguno"/>
          <w:rFonts w:ascii="Arial Black" w:hAnsi="Arial Black"/>
          <w:color w:val="008080"/>
          <w:sz w:val="28"/>
          <w:szCs w:val="28"/>
          <w:u w:color="008080"/>
        </w:rPr>
      </w:pPr>
      <w:r>
        <w:rPr>
          <w:noProof/>
          <w:lang w:val="es-ES_tradnl" w:eastAsia="es-ES_tradnl"/>
        </w:rPr>
        <w:drawing>
          <wp:inline distT="0" distB="0" distL="0" distR="0" wp14:anchorId="14BED28C" wp14:editId="779FFCC1">
            <wp:extent cx="5596569" cy="5233012"/>
            <wp:effectExtent l="0" t="0" r="4445" b="63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3FA5B5" w14:textId="77777777" w:rsidR="008C235E" w:rsidRDefault="008C235E">
      <w:pPr>
        <w:pStyle w:val="Cuerpo"/>
        <w:jc w:val="both"/>
        <w:rPr>
          <w:rStyle w:val="Ninguno"/>
          <w:rFonts w:ascii="Arial Black" w:hAnsi="Arial Black"/>
          <w:color w:val="008080"/>
          <w:sz w:val="28"/>
          <w:szCs w:val="28"/>
          <w:u w:color="008080"/>
        </w:rPr>
      </w:pPr>
    </w:p>
    <w:p w14:paraId="27C4FAB4" w14:textId="77777777" w:rsidR="008C235E" w:rsidRPr="00874650" w:rsidRDefault="00874650">
      <w:pPr>
        <w:pStyle w:val="Cuerpo"/>
        <w:jc w:val="both"/>
        <w:rPr>
          <w:rStyle w:val="Ninguno"/>
          <w:b/>
          <w:color w:val="auto"/>
          <w:szCs w:val="28"/>
          <w:u w:color="008080"/>
        </w:rPr>
      </w:pPr>
      <w:r w:rsidRPr="00874650">
        <w:rPr>
          <w:rStyle w:val="Ninguno"/>
          <w:b/>
          <w:color w:val="auto"/>
          <w:szCs w:val="28"/>
          <w:u w:color="008080"/>
        </w:rPr>
        <w:t>En conjunto la pérdida de ventas experimentada por las farmacias entre 2011 y 2016 ha sido superior a los 1.047 millones de euros, lo que representa un 13,17% menos que las ventas que tuvieron las farmacias en el año 2011.</w:t>
      </w:r>
    </w:p>
    <w:p w14:paraId="4AD29F16" w14:textId="77777777" w:rsidR="008C235E" w:rsidRDefault="008C235E">
      <w:pPr>
        <w:pStyle w:val="Cuerpo"/>
        <w:jc w:val="both"/>
        <w:rPr>
          <w:rStyle w:val="Ninguno"/>
          <w:rFonts w:ascii="Arial Black" w:hAnsi="Arial Black"/>
          <w:color w:val="008080"/>
          <w:sz w:val="28"/>
          <w:szCs w:val="28"/>
          <w:u w:color="008080"/>
        </w:rPr>
      </w:pPr>
    </w:p>
    <w:p w14:paraId="0D2DE4B7" w14:textId="77777777" w:rsidR="00C829A4" w:rsidRDefault="00A773ED">
      <w:pPr>
        <w:pStyle w:val="Cuerpo"/>
        <w:jc w:val="both"/>
        <w:rPr>
          <w:rStyle w:val="Ninguno"/>
          <w:rFonts w:ascii="Arial Black" w:eastAsia="Arial Black" w:hAnsi="Arial Black" w:cs="Arial Black"/>
          <w:color w:val="008080"/>
          <w:sz w:val="28"/>
          <w:szCs w:val="28"/>
          <w:u w:color="008080"/>
        </w:rPr>
      </w:pPr>
      <w:proofErr w:type="spellStart"/>
      <w:r>
        <w:rPr>
          <w:rStyle w:val="Ninguno"/>
          <w:rFonts w:ascii="Arial Black" w:hAnsi="Arial Black"/>
          <w:color w:val="008080"/>
          <w:sz w:val="28"/>
          <w:szCs w:val="28"/>
          <w:u w:color="008080"/>
        </w:rPr>
        <w:lastRenderedPageBreak/>
        <w:t>Pronó</w:t>
      </w:r>
      <w:proofErr w:type="spellEnd"/>
      <w:r>
        <w:rPr>
          <w:rStyle w:val="Ninguno"/>
          <w:rFonts w:ascii="Arial Black" w:hAnsi="Arial Black"/>
          <w:color w:val="008080"/>
          <w:sz w:val="28"/>
          <w:szCs w:val="28"/>
          <w:u w:color="008080"/>
          <w:lang w:val="it-IT"/>
        </w:rPr>
        <w:t xml:space="preserve">stico: </w:t>
      </w:r>
    </w:p>
    <w:p w14:paraId="34ABEC2A" w14:textId="77777777" w:rsidR="00C829A4" w:rsidRDefault="00C829A4">
      <w:pPr>
        <w:pStyle w:val="Cuerpo"/>
        <w:jc w:val="both"/>
        <w:rPr>
          <w:rStyle w:val="Ninguno"/>
          <w:color w:val="008080"/>
          <w:sz w:val="18"/>
          <w:szCs w:val="18"/>
          <w:u w:color="008080"/>
        </w:rPr>
      </w:pPr>
    </w:p>
    <w:p w14:paraId="428FDD20" w14:textId="77777777" w:rsidR="00C829A4" w:rsidRPr="00D728E1" w:rsidRDefault="00A773ED">
      <w:pPr>
        <w:pStyle w:val="Cuerpo"/>
        <w:jc w:val="both"/>
        <w:rPr>
          <w:rStyle w:val="Ninguno"/>
          <w:b/>
          <w:bCs/>
          <w:sz w:val="22"/>
        </w:rPr>
      </w:pPr>
      <w:r w:rsidRPr="00D728E1">
        <w:rPr>
          <w:sz w:val="22"/>
          <w:lang w:val="es-ES_tradnl"/>
        </w:rPr>
        <w:t xml:space="preserve">Los datos de consumo de medicamentos en el mes de </w:t>
      </w:r>
      <w:proofErr w:type="gramStart"/>
      <w:r w:rsidR="00E62931">
        <w:rPr>
          <w:sz w:val="22"/>
          <w:lang w:val="es-ES_tradnl"/>
        </w:rPr>
        <w:t>Octubre</w:t>
      </w:r>
      <w:proofErr w:type="gramEnd"/>
      <w:r w:rsidRPr="00D728E1">
        <w:rPr>
          <w:sz w:val="22"/>
          <w:lang w:val="es-ES_tradnl"/>
        </w:rPr>
        <w:t xml:space="preserve"> de 2017, ponen de manifiesto que </w:t>
      </w:r>
      <w:r w:rsidRPr="00D728E1">
        <w:rPr>
          <w:b/>
          <w:sz w:val="22"/>
          <w:lang w:val="es-ES_tradnl"/>
        </w:rPr>
        <w:t xml:space="preserve">el mercado </w:t>
      </w:r>
      <w:r w:rsidR="008E7C7C" w:rsidRPr="00D728E1">
        <w:rPr>
          <w:b/>
          <w:sz w:val="22"/>
          <w:lang w:val="es-ES_tradnl"/>
        </w:rPr>
        <w:t xml:space="preserve">financiado </w:t>
      </w:r>
      <w:proofErr w:type="spellStart"/>
      <w:r w:rsidRPr="00D728E1">
        <w:rPr>
          <w:b/>
          <w:sz w:val="22"/>
          <w:lang w:val="es-ES_tradnl"/>
        </w:rPr>
        <w:t>contin</w:t>
      </w:r>
      <w:proofErr w:type="spellEnd"/>
      <w:r w:rsidRPr="00D728E1">
        <w:rPr>
          <w:b/>
          <w:sz w:val="22"/>
        </w:rPr>
        <w:t>ú</w:t>
      </w:r>
      <w:r w:rsidRPr="00D728E1">
        <w:rPr>
          <w:b/>
          <w:sz w:val="22"/>
          <w:lang w:val="es-ES_tradnl"/>
        </w:rPr>
        <w:t>a su recuperación</w:t>
      </w:r>
      <w:r w:rsidR="008E7C7C" w:rsidRPr="00D728E1">
        <w:rPr>
          <w:b/>
          <w:sz w:val="22"/>
          <w:lang w:val="es-ES_tradnl"/>
        </w:rPr>
        <w:t xml:space="preserve"> de forma muy lenta</w:t>
      </w:r>
      <w:r w:rsidRPr="00D728E1">
        <w:rPr>
          <w:b/>
          <w:sz w:val="22"/>
          <w:lang w:val="es-ES_tradnl"/>
        </w:rPr>
        <w:t xml:space="preserve">, </w:t>
      </w:r>
      <w:r w:rsidR="00915F39">
        <w:rPr>
          <w:b/>
          <w:sz w:val="22"/>
          <w:lang w:val="es-ES_tradnl"/>
        </w:rPr>
        <w:t xml:space="preserve">a pesar de los datos claramente positivos de este mes, sin embargo </w:t>
      </w:r>
      <w:r w:rsidR="008E7C7C" w:rsidRPr="00D728E1">
        <w:rPr>
          <w:b/>
          <w:sz w:val="22"/>
          <w:lang w:val="es-ES_tradnl"/>
        </w:rPr>
        <w:t>el mercado total ofrece claros síntomas de estancamiento</w:t>
      </w:r>
      <w:r w:rsidRPr="00D728E1">
        <w:rPr>
          <w:sz w:val="22"/>
          <w:lang w:val="es-ES_tradnl"/>
        </w:rPr>
        <w:t xml:space="preserve">. El crecimiento en </w:t>
      </w:r>
      <w:r w:rsidRPr="00D728E1">
        <w:rPr>
          <w:rStyle w:val="Ninguno"/>
          <w:b/>
          <w:bCs/>
          <w:sz w:val="22"/>
        </w:rPr>
        <w:t>t</w:t>
      </w:r>
      <w:r w:rsidRPr="00D728E1">
        <w:rPr>
          <w:rStyle w:val="Ninguno"/>
          <w:b/>
          <w:bCs/>
          <w:sz w:val="22"/>
          <w:lang w:val="fr-FR"/>
        </w:rPr>
        <w:t>é</w:t>
      </w:r>
      <w:proofErr w:type="spellStart"/>
      <w:r w:rsidRPr="00D728E1">
        <w:rPr>
          <w:rStyle w:val="Ninguno"/>
          <w:b/>
          <w:bCs/>
          <w:sz w:val="22"/>
        </w:rPr>
        <w:t>rminos</w:t>
      </w:r>
      <w:proofErr w:type="spellEnd"/>
      <w:r w:rsidRPr="00D728E1">
        <w:rPr>
          <w:rStyle w:val="Ninguno"/>
          <w:b/>
          <w:bCs/>
          <w:sz w:val="22"/>
        </w:rPr>
        <w:t xml:space="preserve"> anuales del mercado financiado alcanza este mes los </w:t>
      </w:r>
      <w:r w:rsidR="00915F39">
        <w:rPr>
          <w:rStyle w:val="Ninguno"/>
          <w:b/>
          <w:bCs/>
          <w:sz w:val="22"/>
        </w:rPr>
        <w:t>284,7</w:t>
      </w:r>
      <w:r w:rsidRPr="00D728E1">
        <w:rPr>
          <w:rStyle w:val="Ninguno"/>
          <w:b/>
          <w:bCs/>
          <w:sz w:val="22"/>
        </w:rPr>
        <w:t xml:space="preserve"> millones de euros.</w:t>
      </w:r>
    </w:p>
    <w:p w14:paraId="2422F49C" w14:textId="77777777" w:rsidR="00C829A4" w:rsidRDefault="00A773ED">
      <w:pPr>
        <w:pStyle w:val="Cuerpo"/>
        <w:jc w:val="both"/>
        <w:rPr>
          <w:rStyle w:val="Ninguno"/>
          <w:b/>
          <w:bCs/>
          <w:sz w:val="22"/>
          <w:szCs w:val="22"/>
        </w:rPr>
      </w:pPr>
      <w:r>
        <w:rPr>
          <w:rStyle w:val="Ninguno"/>
          <w:b/>
          <w:bCs/>
          <w:sz w:val="22"/>
          <w:szCs w:val="22"/>
        </w:rPr>
        <w:t xml:space="preserve"> </w:t>
      </w:r>
    </w:p>
    <w:p w14:paraId="6C0ED24C" w14:textId="77777777" w:rsidR="00874650" w:rsidRDefault="00A773ED" w:rsidP="00FA08CA">
      <w:pPr>
        <w:jc w:val="both"/>
        <w:rPr>
          <w:rFonts w:ascii="Arial" w:hAnsi="Arial" w:cs="Arial"/>
          <w:sz w:val="22"/>
          <w:lang w:val="es-ES_tradnl"/>
        </w:rPr>
      </w:pPr>
      <w:r w:rsidRPr="00D728E1">
        <w:rPr>
          <w:rFonts w:ascii="Arial" w:hAnsi="Arial" w:cs="Arial"/>
          <w:sz w:val="22"/>
          <w:lang w:val="es-ES_tradnl"/>
        </w:rPr>
        <w:t xml:space="preserve">En este Observatorio se actualiza la evolución del consumo de recetas como indicador de la demanda, perfectamente comparable con el año anterior, donde </w:t>
      </w:r>
      <w:r w:rsidRPr="00D728E1">
        <w:rPr>
          <w:rStyle w:val="Ninguno"/>
          <w:rFonts w:ascii="Arial" w:hAnsi="Arial" w:cs="Arial"/>
          <w:b/>
          <w:bCs/>
          <w:sz w:val="22"/>
        </w:rPr>
        <w:t xml:space="preserve">se ha producido un </w:t>
      </w:r>
      <w:r w:rsidR="00915F39">
        <w:rPr>
          <w:rStyle w:val="Ninguno"/>
          <w:rFonts w:ascii="Arial" w:hAnsi="Arial" w:cs="Arial"/>
          <w:b/>
          <w:bCs/>
          <w:sz w:val="22"/>
        </w:rPr>
        <w:t>aumento</w:t>
      </w:r>
      <w:r w:rsidRPr="00D728E1">
        <w:rPr>
          <w:rStyle w:val="Ninguno"/>
          <w:rFonts w:ascii="Arial" w:hAnsi="Arial" w:cs="Arial"/>
          <w:b/>
          <w:bCs/>
          <w:sz w:val="22"/>
        </w:rPr>
        <w:t xml:space="preserve"> respecto al mismo mes del año anterior </w:t>
      </w:r>
      <w:proofErr w:type="gramStart"/>
      <w:r w:rsidRPr="00D728E1">
        <w:rPr>
          <w:rStyle w:val="Ninguno"/>
          <w:rFonts w:ascii="Arial" w:hAnsi="Arial" w:cs="Arial"/>
          <w:b/>
          <w:bCs/>
          <w:sz w:val="22"/>
        </w:rPr>
        <w:t xml:space="preserve">de  </w:t>
      </w:r>
      <w:r w:rsidR="00915F39">
        <w:rPr>
          <w:rStyle w:val="Ninguno"/>
          <w:rFonts w:ascii="Arial" w:hAnsi="Arial" w:cs="Arial"/>
          <w:b/>
          <w:bCs/>
          <w:sz w:val="22"/>
        </w:rPr>
        <w:t>2</w:t>
      </w:r>
      <w:proofErr w:type="gramEnd"/>
      <w:r w:rsidR="00915F39">
        <w:rPr>
          <w:rStyle w:val="Ninguno"/>
          <w:rFonts w:ascii="Arial" w:hAnsi="Arial" w:cs="Arial"/>
          <w:b/>
          <w:bCs/>
          <w:sz w:val="22"/>
        </w:rPr>
        <w:t>,9 millones</w:t>
      </w:r>
      <w:r w:rsidRPr="00D728E1">
        <w:rPr>
          <w:rStyle w:val="Ninguno"/>
          <w:rFonts w:ascii="Arial" w:hAnsi="Arial" w:cs="Arial"/>
          <w:b/>
          <w:bCs/>
          <w:sz w:val="22"/>
        </w:rPr>
        <w:t xml:space="preserve">  recetas. </w:t>
      </w:r>
      <w:r w:rsidRPr="00D728E1">
        <w:rPr>
          <w:rFonts w:ascii="Arial" w:hAnsi="Arial" w:cs="Arial"/>
          <w:sz w:val="22"/>
          <w:lang w:val="es-ES_tradnl"/>
        </w:rPr>
        <w:t xml:space="preserve">En este mes de </w:t>
      </w:r>
      <w:proofErr w:type="gramStart"/>
      <w:r w:rsidR="00E62931">
        <w:rPr>
          <w:rFonts w:ascii="Arial" w:hAnsi="Arial" w:cs="Arial"/>
          <w:sz w:val="22"/>
          <w:lang w:val="es-ES_tradnl"/>
        </w:rPr>
        <w:t>Octubre</w:t>
      </w:r>
      <w:proofErr w:type="gramEnd"/>
      <w:r w:rsidRPr="00D728E1">
        <w:rPr>
          <w:rFonts w:ascii="Arial" w:hAnsi="Arial" w:cs="Arial"/>
          <w:sz w:val="22"/>
          <w:lang w:val="es-ES_tradnl"/>
        </w:rPr>
        <w:t xml:space="preserve"> </w:t>
      </w:r>
      <w:proofErr w:type="spellStart"/>
      <w:r w:rsidRPr="00D728E1">
        <w:rPr>
          <w:rFonts w:ascii="Arial" w:hAnsi="Arial" w:cs="Arial"/>
          <w:sz w:val="22"/>
          <w:lang w:val="es-ES_tradnl"/>
        </w:rPr>
        <w:t>tambi</w:t>
      </w:r>
      <w:proofErr w:type="spellEnd"/>
      <w:r w:rsidRPr="00D728E1">
        <w:rPr>
          <w:rFonts w:ascii="Arial" w:hAnsi="Arial" w:cs="Arial"/>
          <w:sz w:val="22"/>
          <w:lang w:val="fr-FR"/>
        </w:rPr>
        <w:t>é</w:t>
      </w:r>
      <w:r w:rsidRPr="00D728E1">
        <w:rPr>
          <w:rFonts w:ascii="Arial" w:hAnsi="Arial" w:cs="Arial"/>
          <w:sz w:val="22"/>
          <w:lang w:val="es-ES_tradnl"/>
        </w:rPr>
        <w:t xml:space="preserve">n aumenta el </w:t>
      </w:r>
      <w:r w:rsidRPr="00D728E1">
        <w:rPr>
          <w:rStyle w:val="Ninguno"/>
          <w:rFonts w:ascii="Arial" w:hAnsi="Arial" w:cs="Arial"/>
          <w:b/>
          <w:bCs/>
          <w:sz w:val="22"/>
        </w:rPr>
        <w:t xml:space="preserve">Gasto Medio por Receta un </w:t>
      </w:r>
      <w:r w:rsidR="00915F39">
        <w:rPr>
          <w:rStyle w:val="Ninguno"/>
          <w:rFonts w:ascii="Arial" w:hAnsi="Arial" w:cs="Arial"/>
          <w:b/>
          <w:bCs/>
          <w:sz w:val="22"/>
        </w:rPr>
        <w:t>2,17</w:t>
      </w:r>
      <w:r w:rsidRPr="00D728E1">
        <w:rPr>
          <w:rStyle w:val="Ninguno"/>
          <w:rFonts w:ascii="Arial" w:hAnsi="Arial" w:cs="Arial"/>
          <w:b/>
          <w:bCs/>
          <w:sz w:val="22"/>
        </w:rPr>
        <w:t xml:space="preserve">%. </w:t>
      </w:r>
      <w:r w:rsidRPr="00D728E1">
        <w:rPr>
          <w:rFonts w:ascii="Arial" w:hAnsi="Arial" w:cs="Arial"/>
          <w:sz w:val="22"/>
          <w:lang w:val="es-ES_tradnl"/>
        </w:rPr>
        <w:t>La demanda de medicamentos</w:t>
      </w:r>
      <w:r w:rsidR="00ED6B6F" w:rsidRPr="00D728E1">
        <w:rPr>
          <w:rFonts w:ascii="Arial" w:hAnsi="Arial" w:cs="Arial"/>
          <w:sz w:val="22"/>
          <w:lang w:val="es-ES_tradnl"/>
        </w:rPr>
        <w:t xml:space="preserve"> financiados</w:t>
      </w:r>
      <w:r w:rsidRPr="00D728E1">
        <w:rPr>
          <w:rFonts w:ascii="Arial" w:hAnsi="Arial" w:cs="Arial"/>
          <w:sz w:val="22"/>
          <w:lang w:val="es-ES_tradnl"/>
        </w:rPr>
        <w:t xml:space="preserve"> </w:t>
      </w:r>
      <w:proofErr w:type="spellStart"/>
      <w:r w:rsidRPr="00D728E1">
        <w:rPr>
          <w:rFonts w:ascii="Arial" w:hAnsi="Arial" w:cs="Arial"/>
          <w:sz w:val="22"/>
          <w:lang w:val="es-ES_tradnl"/>
        </w:rPr>
        <w:t>contin</w:t>
      </w:r>
      <w:proofErr w:type="spellEnd"/>
      <w:r w:rsidRPr="00D728E1">
        <w:rPr>
          <w:rFonts w:ascii="Arial" w:hAnsi="Arial" w:cs="Arial"/>
          <w:sz w:val="22"/>
          <w:lang w:val="es-ES"/>
        </w:rPr>
        <w:t>ú</w:t>
      </w:r>
      <w:r w:rsidRPr="00D728E1">
        <w:rPr>
          <w:rFonts w:ascii="Arial" w:hAnsi="Arial" w:cs="Arial"/>
          <w:sz w:val="22"/>
          <w:lang w:val="it-IT"/>
        </w:rPr>
        <w:t xml:space="preserve">a </w:t>
      </w:r>
      <w:proofErr w:type="spellStart"/>
      <w:r w:rsidRPr="00D728E1">
        <w:rPr>
          <w:rFonts w:ascii="Arial" w:hAnsi="Arial" w:cs="Arial"/>
          <w:sz w:val="22"/>
          <w:lang w:val="it-IT"/>
        </w:rPr>
        <w:t>normaliz</w:t>
      </w:r>
      <w:proofErr w:type="spellEnd"/>
      <w:r w:rsidRPr="00D728E1">
        <w:rPr>
          <w:rFonts w:ascii="Arial" w:hAnsi="Arial" w:cs="Arial"/>
          <w:sz w:val="22"/>
          <w:lang w:val="es-ES"/>
        </w:rPr>
        <w:t>á</w:t>
      </w:r>
      <w:proofErr w:type="spellStart"/>
      <w:r w:rsidRPr="00D728E1">
        <w:rPr>
          <w:rFonts w:ascii="Arial" w:hAnsi="Arial" w:cs="Arial"/>
          <w:sz w:val="22"/>
          <w:lang w:val="es-ES_tradnl"/>
        </w:rPr>
        <w:t>ndose</w:t>
      </w:r>
      <w:proofErr w:type="spellEnd"/>
      <w:r w:rsidRPr="00D728E1">
        <w:rPr>
          <w:rFonts w:ascii="Arial" w:hAnsi="Arial" w:cs="Arial"/>
          <w:sz w:val="22"/>
          <w:lang w:val="es-ES_tradnl"/>
        </w:rPr>
        <w:t xml:space="preserve"> respecto al año 2012 y en el acumulado interanual respecto a 2016 se ha producido un incremento de </w:t>
      </w:r>
      <w:r w:rsidR="00532D1D">
        <w:rPr>
          <w:rFonts w:ascii="Arial" w:hAnsi="Arial" w:cs="Arial"/>
          <w:sz w:val="22"/>
          <w:lang w:val="es-ES_tradnl"/>
        </w:rPr>
        <w:t>11,</w:t>
      </w:r>
      <w:proofErr w:type="gramStart"/>
      <w:r w:rsidR="00532D1D">
        <w:rPr>
          <w:rFonts w:ascii="Arial" w:hAnsi="Arial" w:cs="Arial"/>
          <w:sz w:val="22"/>
          <w:lang w:val="es-ES_tradnl"/>
        </w:rPr>
        <w:t>5</w:t>
      </w:r>
      <w:r w:rsidRPr="00D728E1">
        <w:rPr>
          <w:rFonts w:ascii="Arial" w:hAnsi="Arial" w:cs="Arial"/>
          <w:sz w:val="22"/>
          <w:lang w:val="es-ES_tradnl"/>
        </w:rPr>
        <w:t xml:space="preserve">  millones</w:t>
      </w:r>
      <w:proofErr w:type="gramEnd"/>
      <w:r w:rsidRPr="00D728E1">
        <w:rPr>
          <w:rFonts w:ascii="Arial" w:hAnsi="Arial" w:cs="Arial"/>
          <w:sz w:val="22"/>
          <w:lang w:val="es-ES_tradnl"/>
        </w:rPr>
        <w:t xml:space="preserve"> de recetas.</w:t>
      </w:r>
    </w:p>
    <w:p w14:paraId="0FA68E58" w14:textId="77777777" w:rsidR="00874650" w:rsidRDefault="00874650" w:rsidP="00FA08CA">
      <w:pPr>
        <w:jc w:val="both"/>
        <w:rPr>
          <w:rFonts w:ascii="Arial" w:hAnsi="Arial" w:cs="Arial"/>
          <w:sz w:val="22"/>
          <w:lang w:val="es-ES_tradnl"/>
        </w:rPr>
      </w:pPr>
    </w:p>
    <w:p w14:paraId="03AF8CA1" w14:textId="77777777" w:rsidR="00874650" w:rsidRDefault="00874650" w:rsidP="00874650">
      <w:pPr>
        <w:pStyle w:val="Cuerpo"/>
        <w:jc w:val="both"/>
        <w:rPr>
          <w:rStyle w:val="Ninguno"/>
          <w:color w:val="auto"/>
          <w:szCs w:val="28"/>
          <w:u w:color="008080"/>
        </w:rPr>
      </w:pPr>
      <w:r>
        <w:rPr>
          <w:rStyle w:val="Ninguno"/>
          <w:color w:val="auto"/>
          <w:u w:color="008080"/>
        </w:rPr>
        <w:t xml:space="preserve">Por primera vez el Ministerio de Sanidad, Servicios Sociales e Igualdad ha publicado datos del consumo de medicamentos en hospitales, referidos al periodo enero-abril de 2017. Estos datos no coinciden con los que venía suministrando el Ministerio de Hacienda y Administraciones públicas, algo que se va a seguir produciendo en el futuro porque </w:t>
      </w:r>
      <w:r w:rsidR="00A003E7">
        <w:rPr>
          <w:rStyle w:val="Ninguno"/>
          <w:color w:val="auto"/>
          <w:u w:color="008080"/>
        </w:rPr>
        <w:t>unos se refieren a adquisiciones y otro a los pagos. Para evaluar la incidencia de medicamentos que proporcionan los hospitales hemos puesto estas cifras en relación con la población total de cada Comunidad Autónoma obtenido el gasto mensual “per cápita” en cada Comunidad Autónoma. Las C</w:t>
      </w:r>
      <w:r w:rsidR="00A003E7">
        <w:rPr>
          <w:rStyle w:val="Ninguno"/>
          <w:color w:val="auto"/>
          <w:szCs w:val="28"/>
          <w:u w:color="008080"/>
        </w:rPr>
        <w:t>omunidades con mayor gasto “per cápita” son Asturias, Aragón, Galicia y Navarra, mientras que las Comunidades con un menor gasto hospitalario son Andalucía, Canarias y Castilla La Mancha. Hay que poner de manifiesto que, aunque es una buena noticia la publicación de estos datos, conviene seguir avanzando en su análisis cualitativo y hacer seguimiento de los medicamentos que se proporcionan a los pacientes ambulantes o no ingresados.</w:t>
      </w:r>
    </w:p>
    <w:p w14:paraId="00B2BAFC" w14:textId="77777777" w:rsidR="00A003E7" w:rsidRDefault="00A003E7" w:rsidP="00874650">
      <w:pPr>
        <w:pStyle w:val="Cuerpo"/>
        <w:jc w:val="both"/>
        <w:rPr>
          <w:rStyle w:val="Ninguno"/>
          <w:color w:val="auto"/>
          <w:szCs w:val="28"/>
          <w:u w:color="008080"/>
        </w:rPr>
      </w:pPr>
    </w:p>
    <w:p w14:paraId="63BBF564" w14:textId="77777777" w:rsidR="00A003E7" w:rsidRDefault="00A003E7" w:rsidP="00874650">
      <w:pPr>
        <w:pStyle w:val="Cuerpo"/>
        <w:jc w:val="both"/>
        <w:rPr>
          <w:rStyle w:val="Ninguno"/>
          <w:color w:val="auto"/>
          <w:szCs w:val="28"/>
          <w:u w:color="008080"/>
        </w:rPr>
      </w:pPr>
      <w:r>
        <w:rPr>
          <w:rStyle w:val="Ninguno"/>
          <w:color w:val="auto"/>
          <w:szCs w:val="28"/>
          <w:u w:color="008080"/>
        </w:rPr>
        <w:t>También en este Observatorio se ha valorado la caída de ventas de medicamentos y otros productos producida entre 2011 y 2016, cuyas causas hay que atribuirlas al nuevo sistema de aportaciones generalizado por niveles de renta que incluye a los pensionistas. La caída total de ventas de las farmacias es de más de 1.047 millones de euros, lo que representa un 13,17% menos que en el año 2011. En su distribución por Comunidades Autónomas, las que han sufrido una mayor pérdida de ventas por farmacia (más de 100.000 euros en el año 2016) son Cataluña, Galicia, Comunidad Valenciana y Asturias, mientras que las que menos pérdidas han experimentado son Cantabria, Madrid y Extremadura, con pérdidas en torno a los 20.000 euros.</w:t>
      </w:r>
      <w:r w:rsidR="00F772FB">
        <w:rPr>
          <w:rStyle w:val="Ninguno"/>
          <w:color w:val="auto"/>
          <w:szCs w:val="28"/>
          <w:u w:color="008080"/>
        </w:rPr>
        <w:t xml:space="preserve"> Los discretos aumentos en el gasto que se están produciendo actualmente permiten afirmar que faltan años para igualar las cifras del año 2011.</w:t>
      </w:r>
    </w:p>
    <w:p w14:paraId="3CC1DEBD" w14:textId="77777777" w:rsidR="00F772FB" w:rsidRDefault="00F772FB" w:rsidP="00874650">
      <w:pPr>
        <w:pStyle w:val="Cuerpo"/>
        <w:jc w:val="both"/>
        <w:rPr>
          <w:rStyle w:val="Ninguno"/>
          <w:color w:val="auto"/>
          <w:szCs w:val="28"/>
          <w:u w:color="008080"/>
        </w:rPr>
      </w:pPr>
    </w:p>
    <w:p w14:paraId="748ABCB1" w14:textId="77777777" w:rsidR="00790C16" w:rsidRDefault="00A773ED">
      <w:pPr>
        <w:pStyle w:val="Cuerpo"/>
        <w:jc w:val="both"/>
        <w:rPr>
          <w:lang w:val="es-ES_tradnl"/>
        </w:rPr>
      </w:pPr>
      <w:r>
        <w:rPr>
          <w:rStyle w:val="Ninguno"/>
          <w:b/>
          <w:bCs/>
        </w:rPr>
        <w:t>Finalmente, las previsiones a corto plazo –</w:t>
      </w:r>
      <w:r w:rsidR="00ED6B6F">
        <w:rPr>
          <w:rStyle w:val="Ninguno"/>
          <w:b/>
          <w:bCs/>
        </w:rPr>
        <w:t xml:space="preserve">noviembre </w:t>
      </w:r>
      <w:r w:rsidR="008C235E">
        <w:rPr>
          <w:rStyle w:val="Ninguno"/>
          <w:b/>
          <w:bCs/>
        </w:rPr>
        <w:t xml:space="preserve">y diciembre </w:t>
      </w:r>
      <w:r w:rsidR="00ED6B6F">
        <w:rPr>
          <w:rStyle w:val="Ninguno"/>
          <w:b/>
          <w:bCs/>
        </w:rPr>
        <w:t>de 2017</w:t>
      </w:r>
      <w:r>
        <w:rPr>
          <w:rStyle w:val="Ninguno"/>
          <w:b/>
          <w:bCs/>
        </w:rPr>
        <w:t xml:space="preserve">– </w:t>
      </w:r>
      <w:r>
        <w:rPr>
          <w:lang w:val="es-ES_tradnl"/>
        </w:rPr>
        <w:t>indican que el mercado continuar</w:t>
      </w:r>
      <w:r>
        <w:t xml:space="preserve">á </w:t>
      </w:r>
      <w:r>
        <w:rPr>
          <w:lang w:val="es-ES_tradnl"/>
        </w:rPr>
        <w:t xml:space="preserve">en un crecimiento </w:t>
      </w:r>
      <w:r w:rsidR="00ED6B6F">
        <w:rPr>
          <w:lang w:val="es-ES_tradnl"/>
        </w:rPr>
        <w:t>inferior al 2%</w:t>
      </w:r>
      <w:r>
        <w:rPr>
          <w:lang w:val="es-ES_tradnl"/>
        </w:rPr>
        <w:t xml:space="preserve">, </w:t>
      </w:r>
      <w:r w:rsidR="00ED6B6F">
        <w:rPr>
          <w:lang w:val="es-ES_tradnl"/>
        </w:rPr>
        <w:t>y</w:t>
      </w:r>
      <w:r>
        <w:rPr>
          <w:lang w:val="es-ES_tradnl"/>
        </w:rPr>
        <w:t xml:space="preserve"> se puede estimar que el crecimiento de todo el </w:t>
      </w:r>
      <w:proofErr w:type="spellStart"/>
      <w:r>
        <w:rPr>
          <w:lang w:val="es-ES_tradnl"/>
        </w:rPr>
        <w:t>añ</w:t>
      </w:r>
      <w:proofErr w:type="spellEnd"/>
      <w:r>
        <w:t>o podrí</w:t>
      </w:r>
      <w:r>
        <w:rPr>
          <w:lang w:val="es-ES_tradnl"/>
        </w:rPr>
        <w:t>a ser incluso menor que en 2016</w:t>
      </w:r>
      <w:r w:rsidR="00ED6B6F">
        <w:rPr>
          <w:lang w:val="es-ES_tradnl"/>
        </w:rPr>
        <w:t>, con lo que habríamos entrado en una fase clara de estancamiento del mercado</w:t>
      </w:r>
      <w:r>
        <w:rPr>
          <w:lang w:val="es-ES_tradnl"/>
        </w:rPr>
        <w:t>.</w:t>
      </w:r>
    </w:p>
    <w:sectPr w:rsidR="00790C16" w:rsidSect="00FF1FDA">
      <w:headerReference w:type="default" r:id="rId16"/>
      <w:footerReference w:type="default" r:id="rId17"/>
      <w:headerReference w:type="first" r:id="rId18"/>
      <w:footerReference w:type="first" r:id="rId19"/>
      <w:pgSz w:w="11900" w:h="16840"/>
      <w:pgMar w:top="1418" w:right="1531" w:bottom="1418" w:left="153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411DA" w14:textId="77777777" w:rsidR="00A94DAF" w:rsidRDefault="00A94DAF">
      <w:r>
        <w:separator/>
      </w:r>
    </w:p>
  </w:endnote>
  <w:endnote w:type="continuationSeparator" w:id="0">
    <w:p w14:paraId="1F051BA7" w14:textId="77777777" w:rsidR="00A94DAF" w:rsidRDefault="00A9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C3B8" w14:textId="77777777" w:rsidR="00C829A4" w:rsidRDefault="00A773ED">
    <w:pPr>
      <w:pStyle w:val="Piedepgina"/>
      <w:tabs>
        <w:tab w:val="clear" w:pos="8838"/>
        <w:tab w:val="right" w:pos="8818"/>
      </w:tabs>
      <w:jc w:val="center"/>
    </w:pPr>
    <w:r>
      <w:t>FEDERACIÓN EMPRESARIAL DE FARMACÉUTICOS ESPAÑOLES</w:t>
    </w:r>
  </w:p>
  <w:p w14:paraId="63A12842" w14:textId="77777777" w:rsidR="00C829A4" w:rsidRDefault="00A773ED">
    <w:pPr>
      <w:pStyle w:val="Piedepgina"/>
      <w:tabs>
        <w:tab w:val="clear" w:pos="8838"/>
        <w:tab w:val="right" w:pos="8818"/>
      </w:tabs>
      <w:jc w:val="center"/>
    </w:pPr>
    <w:r>
      <w:t>Príncipe de Vergara 8, 3º. 28001 – Madrid</w:t>
    </w:r>
  </w:p>
  <w:p w14:paraId="38925195" w14:textId="77777777" w:rsidR="00C829A4" w:rsidRDefault="00A773ED">
    <w:pPr>
      <w:pStyle w:val="Piedepgina"/>
      <w:tabs>
        <w:tab w:val="clear" w:pos="8838"/>
        <w:tab w:val="right" w:pos="8818"/>
      </w:tabs>
      <w:jc w:val="center"/>
    </w:pPr>
    <w:r>
      <w:t>•Tel: 91 575 43 86 • Fax: 91 577 57 43 • e-mail: federacion@fefe.com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7A42" w14:textId="77777777" w:rsidR="00C829A4" w:rsidRDefault="00C829A4">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F5AA" w14:textId="77777777" w:rsidR="00A94DAF" w:rsidRDefault="00A94DAF">
      <w:r>
        <w:separator/>
      </w:r>
    </w:p>
  </w:footnote>
  <w:footnote w:type="continuationSeparator" w:id="0">
    <w:p w14:paraId="1F544CC6" w14:textId="77777777" w:rsidR="00A94DAF" w:rsidRDefault="00A94D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773A4" w14:textId="77777777" w:rsidR="00C829A4" w:rsidRDefault="00A773ED">
    <w:pPr>
      <w:pStyle w:val="Encabezado"/>
      <w:tabs>
        <w:tab w:val="clear" w:pos="8838"/>
        <w:tab w:val="right" w:pos="8818"/>
      </w:tabs>
    </w:pPr>
    <w:r>
      <w:rPr>
        <w:noProof/>
        <w:lang w:eastAsia="es-ES_tradnl"/>
      </w:rPr>
      <w:drawing>
        <wp:inline distT="0" distB="0" distL="0" distR="0" wp14:anchorId="0B9B535A" wp14:editId="60D95D04">
          <wp:extent cx="800100" cy="685800"/>
          <wp:effectExtent l="0" t="0" r="0" b="0"/>
          <wp:docPr id="1073741825" name="officeArt object" descr="Logofefe"/>
          <wp:cNvGraphicFramePr/>
          <a:graphic xmlns:a="http://schemas.openxmlformats.org/drawingml/2006/main">
            <a:graphicData uri="http://schemas.openxmlformats.org/drawingml/2006/picture">
              <pic:pic xmlns:pic="http://schemas.openxmlformats.org/drawingml/2006/picture">
                <pic:nvPicPr>
                  <pic:cNvPr id="1073741825" name="Logofefe" descr="Logofefe"/>
                  <pic:cNvPicPr>
                    <a:picLocks noChangeAspect="1"/>
                  </pic:cNvPicPr>
                </pic:nvPicPr>
                <pic:blipFill>
                  <a:blip r:embed="rId1">
                    <a:extLst/>
                  </a:blip>
                  <a:stretch>
                    <a:fillRect/>
                  </a:stretch>
                </pic:blipFill>
                <pic:spPr>
                  <a:xfrm>
                    <a:off x="0" y="0"/>
                    <a:ext cx="800100" cy="685800"/>
                  </a:xfrm>
                  <a:prstGeom prst="rect">
                    <a:avLst/>
                  </a:prstGeom>
                  <a:ln w="12700" cap="flat">
                    <a:noFill/>
                    <a:miter lim="400000"/>
                  </a:ln>
                  <a:effectLst/>
                </pic:spPr>
              </pic:pic>
            </a:graphicData>
          </a:graphic>
        </wp:inline>
      </w:drawing>
    </w:r>
    <w:r>
      <w:tab/>
    </w:r>
    <w:r>
      <w:rPr>
        <w:rStyle w:val="Ninguno"/>
        <w:rFonts w:ascii="Arial Black" w:hAnsi="Arial Black"/>
        <w:color w:val="008080"/>
        <w:sz w:val="48"/>
        <w:szCs w:val="48"/>
        <w:u w:color="008080"/>
      </w:rPr>
      <w:t xml:space="preserve">OBSERVATORIO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69BCF" w14:textId="77777777" w:rsidR="00C829A4" w:rsidRDefault="00C829A4">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A121D"/>
    <w:multiLevelType w:val="hybridMultilevel"/>
    <w:tmpl w:val="0A802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A4"/>
    <w:rsid w:val="00046664"/>
    <w:rsid w:val="00053930"/>
    <w:rsid w:val="00095C07"/>
    <w:rsid w:val="000D56BD"/>
    <w:rsid w:val="001024F6"/>
    <w:rsid w:val="00147DB9"/>
    <w:rsid w:val="0017478F"/>
    <w:rsid w:val="001A5F6D"/>
    <w:rsid w:val="001B77A7"/>
    <w:rsid w:val="001E51E2"/>
    <w:rsid w:val="00204B6F"/>
    <w:rsid w:val="0026382A"/>
    <w:rsid w:val="002877A7"/>
    <w:rsid w:val="002B4A46"/>
    <w:rsid w:val="002C6B07"/>
    <w:rsid w:val="002D0FF2"/>
    <w:rsid w:val="002E4B78"/>
    <w:rsid w:val="00307D28"/>
    <w:rsid w:val="003128AB"/>
    <w:rsid w:val="00317C6D"/>
    <w:rsid w:val="003B5682"/>
    <w:rsid w:val="003C686F"/>
    <w:rsid w:val="003E1885"/>
    <w:rsid w:val="003E54B8"/>
    <w:rsid w:val="003F1E3C"/>
    <w:rsid w:val="00416B1F"/>
    <w:rsid w:val="00453759"/>
    <w:rsid w:val="00462B93"/>
    <w:rsid w:val="0051693D"/>
    <w:rsid w:val="00532D1D"/>
    <w:rsid w:val="005A5E3B"/>
    <w:rsid w:val="006305E7"/>
    <w:rsid w:val="00656D10"/>
    <w:rsid w:val="00691DB9"/>
    <w:rsid w:val="00745BF1"/>
    <w:rsid w:val="00784443"/>
    <w:rsid w:val="00790C16"/>
    <w:rsid w:val="007A5B8F"/>
    <w:rsid w:val="007B1ACB"/>
    <w:rsid w:val="00803CA2"/>
    <w:rsid w:val="00842155"/>
    <w:rsid w:val="00874650"/>
    <w:rsid w:val="008C235E"/>
    <w:rsid w:val="008E7C7C"/>
    <w:rsid w:val="00912383"/>
    <w:rsid w:val="00915F39"/>
    <w:rsid w:val="009176BE"/>
    <w:rsid w:val="0094181E"/>
    <w:rsid w:val="009B6575"/>
    <w:rsid w:val="009E4AFF"/>
    <w:rsid w:val="009F246F"/>
    <w:rsid w:val="00A003E7"/>
    <w:rsid w:val="00A33208"/>
    <w:rsid w:val="00A773ED"/>
    <w:rsid w:val="00A94DAF"/>
    <w:rsid w:val="00B03866"/>
    <w:rsid w:val="00C50B65"/>
    <w:rsid w:val="00C829A4"/>
    <w:rsid w:val="00C86D06"/>
    <w:rsid w:val="00CD22A3"/>
    <w:rsid w:val="00D6741E"/>
    <w:rsid w:val="00D728E1"/>
    <w:rsid w:val="00D8519F"/>
    <w:rsid w:val="00E34A8D"/>
    <w:rsid w:val="00E62931"/>
    <w:rsid w:val="00E931DD"/>
    <w:rsid w:val="00E95AEF"/>
    <w:rsid w:val="00EA24DE"/>
    <w:rsid w:val="00EB4C77"/>
    <w:rsid w:val="00EB7268"/>
    <w:rsid w:val="00ED6B6F"/>
    <w:rsid w:val="00F0645B"/>
    <w:rsid w:val="00F747A2"/>
    <w:rsid w:val="00F772FB"/>
    <w:rsid w:val="00FA08CA"/>
    <w:rsid w:val="00FD2796"/>
    <w:rsid w:val="00FF1FDA"/>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B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Cuerpo">
    <w:name w:val="Cuerpo"/>
    <w:rPr>
      <w:rFonts w:ascii="Arial" w:eastAsia="Arial" w:hAnsi="Arial" w:cs="Arial"/>
      <w:color w:val="000000"/>
      <w:sz w:val="24"/>
      <w:szCs w:val="24"/>
      <w:u w:color="000000"/>
    </w:rPr>
  </w:style>
  <w:style w:type="paragraph" w:styleId="Textodeglobo">
    <w:name w:val="Balloon Text"/>
    <w:basedOn w:val="Normal"/>
    <w:link w:val="TextodegloboCar"/>
    <w:uiPriority w:val="99"/>
    <w:semiHidden/>
    <w:unhideWhenUsed/>
    <w:rsid w:val="003B5682"/>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682"/>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842155"/>
    <w:rPr>
      <w:sz w:val="16"/>
      <w:szCs w:val="16"/>
    </w:rPr>
  </w:style>
  <w:style w:type="paragraph" w:styleId="Textocomentario">
    <w:name w:val="annotation text"/>
    <w:basedOn w:val="Normal"/>
    <w:link w:val="TextocomentarioCar"/>
    <w:uiPriority w:val="99"/>
    <w:semiHidden/>
    <w:unhideWhenUsed/>
    <w:rsid w:val="00842155"/>
    <w:rPr>
      <w:sz w:val="20"/>
      <w:szCs w:val="20"/>
    </w:rPr>
  </w:style>
  <w:style w:type="character" w:customStyle="1" w:styleId="TextocomentarioCar">
    <w:name w:val="Texto comentario Car"/>
    <w:basedOn w:val="Fuentedeprrafopredeter"/>
    <w:link w:val="Textocomentario"/>
    <w:uiPriority w:val="99"/>
    <w:semiHidden/>
    <w:rsid w:val="00842155"/>
    <w:rPr>
      <w:lang w:val="en-US" w:eastAsia="en-US"/>
    </w:rPr>
  </w:style>
  <w:style w:type="paragraph" w:styleId="Asuntodelcomentario">
    <w:name w:val="annotation subject"/>
    <w:basedOn w:val="Textocomentario"/>
    <w:next w:val="Textocomentario"/>
    <w:link w:val="AsuntodelcomentarioCar"/>
    <w:uiPriority w:val="99"/>
    <w:semiHidden/>
    <w:unhideWhenUsed/>
    <w:rsid w:val="00842155"/>
    <w:rPr>
      <w:b/>
      <w:bCs/>
    </w:rPr>
  </w:style>
  <w:style w:type="character" w:customStyle="1" w:styleId="AsuntodelcomentarioCar">
    <w:name w:val="Asunto del comentario Car"/>
    <w:basedOn w:val="TextocomentarioCar"/>
    <w:link w:val="Asuntodelcomentario"/>
    <w:uiPriority w:val="99"/>
    <w:semiHidden/>
    <w:rsid w:val="00842155"/>
    <w:rPr>
      <w:b/>
      <w:bCs/>
      <w:lang w:val="en-US" w:eastAsia="en-US"/>
    </w:rPr>
  </w:style>
  <w:style w:type="paragraph" w:styleId="Revisin">
    <w:name w:val="Revision"/>
    <w:hidden/>
    <w:uiPriority w:val="99"/>
    <w:semiHidden/>
    <w:rsid w:val="008421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Default">
    <w:name w:val="Default"/>
    <w:rsid w:val="00790C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NeueLT Std Cn" w:hAnsi="HelveticaNeueLT Std Cn" w:cs="HelveticaNeueLT Std Cn"/>
      <w:color w:val="000000"/>
      <w:sz w:val="24"/>
      <w:szCs w:val="24"/>
    </w:rPr>
  </w:style>
  <w:style w:type="paragraph" w:styleId="NormalWeb">
    <w:name w:val="Normal (Web)"/>
    <w:basedOn w:val="Normal"/>
    <w:uiPriority w:val="99"/>
    <w:semiHidden/>
    <w:unhideWhenUsed/>
    <w:rsid w:val="003128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Textoennegrita">
    <w:name w:val="Strong"/>
    <w:basedOn w:val="Fuentedeprrafopredeter"/>
    <w:uiPriority w:val="22"/>
    <w:qFormat/>
    <w:rsid w:val="003128AB"/>
    <w:rPr>
      <w:b/>
      <w:bCs/>
    </w:rPr>
  </w:style>
  <w:style w:type="table" w:styleId="Listaoscura-nfasis5">
    <w:name w:val="Dark List Accent 5"/>
    <w:basedOn w:val="Tablanormal"/>
    <w:uiPriority w:val="70"/>
    <w:rsid w:val="0091238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rsid w:val="0091238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media3-nfasis3">
    <w:name w:val="Medium Grid 3 Accent 3"/>
    <w:basedOn w:val="Tablanormal"/>
    <w:uiPriority w:val="69"/>
    <w:rsid w:val="0091238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1">
    <w:name w:val="Medium Grid 3 Accent 1"/>
    <w:basedOn w:val="Tablanormal"/>
    <w:uiPriority w:val="69"/>
    <w:rsid w:val="0091238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aconcuadrcula">
    <w:name w:val="Table Grid"/>
    <w:basedOn w:val="Tablanormal"/>
    <w:uiPriority w:val="59"/>
    <w:rsid w:val="0041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1">
    <w:name w:val="Medium Shading 2 Accent 1"/>
    <w:basedOn w:val="Tablanormal"/>
    <w:uiPriority w:val="64"/>
    <w:rsid w:val="00E34A8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E629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78664">
      <w:bodyDiv w:val="1"/>
      <w:marLeft w:val="0"/>
      <w:marRight w:val="0"/>
      <w:marTop w:val="0"/>
      <w:marBottom w:val="0"/>
      <w:divBdr>
        <w:top w:val="none" w:sz="0" w:space="0" w:color="auto"/>
        <w:left w:val="none" w:sz="0" w:space="0" w:color="auto"/>
        <w:bottom w:val="none" w:sz="0" w:space="0" w:color="auto"/>
        <w:right w:val="none" w:sz="0" w:space="0" w:color="auto"/>
      </w:divBdr>
    </w:div>
    <w:div w:id="1014918460">
      <w:bodyDiv w:val="1"/>
      <w:marLeft w:val="0"/>
      <w:marRight w:val="0"/>
      <w:marTop w:val="0"/>
      <w:marBottom w:val="0"/>
      <w:divBdr>
        <w:top w:val="none" w:sz="0" w:space="0" w:color="auto"/>
        <w:left w:val="none" w:sz="0" w:space="0" w:color="auto"/>
        <w:bottom w:val="none" w:sz="0" w:space="0" w:color="auto"/>
        <w:right w:val="none" w:sz="0" w:space="0" w:color="auto"/>
      </w:divBdr>
    </w:div>
    <w:div w:id="1424692235">
      <w:bodyDiv w:val="1"/>
      <w:marLeft w:val="0"/>
      <w:marRight w:val="0"/>
      <w:marTop w:val="0"/>
      <w:marBottom w:val="0"/>
      <w:divBdr>
        <w:top w:val="none" w:sz="0" w:space="0" w:color="auto"/>
        <w:left w:val="none" w:sz="0" w:space="0" w:color="auto"/>
        <w:bottom w:val="none" w:sz="0" w:space="0" w:color="auto"/>
        <w:right w:val="none" w:sz="0" w:space="0" w:color="auto"/>
      </w:divBdr>
    </w:div>
    <w:div w:id="1648779460">
      <w:bodyDiv w:val="1"/>
      <w:marLeft w:val="0"/>
      <w:marRight w:val="0"/>
      <w:marTop w:val="0"/>
      <w:marBottom w:val="0"/>
      <w:divBdr>
        <w:top w:val="none" w:sz="0" w:space="0" w:color="auto"/>
        <w:left w:val="none" w:sz="0" w:space="0" w:color="auto"/>
        <w:bottom w:val="none" w:sz="0" w:space="0" w:color="auto"/>
        <w:right w:val="none" w:sz="0" w:space="0" w:color="auto"/>
      </w:divBdr>
    </w:div>
    <w:div w:id="20859539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rique\Documents\Crisis%20de%20las%20farmacias%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 per capita/mes Hospitales</a:t>
            </a:r>
          </a:p>
        </c:rich>
      </c:tx>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col"/>
        <c:grouping val="clustered"/>
        <c:varyColors val="0"/>
        <c:ser>
          <c:idx val="3"/>
          <c:order val="0"/>
          <c:tx>
            <c:strRef>
              <c:f>Hoja1!$E$29</c:f>
              <c:strCache>
                <c:ptCount val="1"/>
                <c:pt idx="0">
                  <c:v>G. per capita/ mes</c:v>
                </c:pt>
              </c:strCache>
            </c:strRef>
          </c:tx>
          <c:invertIfNegative val="0"/>
          <c:cat>
            <c:strRef>
              <c:f>Hoja1!$A$30:$A$46</c:f>
              <c:strCache>
                <c:ptCount val="17"/>
                <c:pt idx="0">
                  <c:v>Asturias</c:v>
                </c:pt>
                <c:pt idx="1">
                  <c:v>Aragón</c:v>
                </c:pt>
                <c:pt idx="2">
                  <c:v>Galicia</c:v>
                </c:pt>
                <c:pt idx="3">
                  <c:v>Navarra</c:v>
                </c:pt>
                <c:pt idx="4">
                  <c:v>Madrid</c:v>
                </c:pt>
                <c:pt idx="5">
                  <c:v>Extremadura</c:v>
                </c:pt>
                <c:pt idx="6">
                  <c:v>La Rioja</c:v>
                </c:pt>
                <c:pt idx="7">
                  <c:v>Castilla y León</c:v>
                </c:pt>
                <c:pt idx="8">
                  <c:v>Baleares</c:v>
                </c:pt>
                <c:pt idx="9">
                  <c:v>Cantabria</c:v>
                </c:pt>
                <c:pt idx="10">
                  <c:v>País Vasco</c:v>
                </c:pt>
                <c:pt idx="11">
                  <c:v>Murcia</c:v>
                </c:pt>
                <c:pt idx="12">
                  <c:v>C. Valenciana</c:v>
                </c:pt>
                <c:pt idx="13">
                  <c:v>Castilla L-M</c:v>
                </c:pt>
                <c:pt idx="14">
                  <c:v>Cataluña</c:v>
                </c:pt>
                <c:pt idx="15">
                  <c:v>Canarias</c:v>
                </c:pt>
                <c:pt idx="16">
                  <c:v>Andalucía</c:v>
                </c:pt>
              </c:strCache>
            </c:strRef>
          </c:cat>
          <c:val>
            <c:numRef>
              <c:f>Hoja1!$E$30:$E$46</c:f>
              <c:numCache>
                <c:formatCode>0.0</c:formatCode>
                <c:ptCount val="17"/>
                <c:pt idx="0">
                  <c:v>13.53669586268281</c:v>
                </c:pt>
                <c:pt idx="1">
                  <c:v>12.75471918432662</c:v>
                </c:pt>
                <c:pt idx="2">
                  <c:v>12.58308641634711</c:v>
                </c:pt>
                <c:pt idx="3">
                  <c:v>12.48616258251425</c:v>
                </c:pt>
                <c:pt idx="4">
                  <c:v>12.10551084305604</c:v>
                </c:pt>
                <c:pt idx="5">
                  <c:v>11.97374905541388</c:v>
                </c:pt>
                <c:pt idx="6">
                  <c:v>11.84180700076632</c:v>
                </c:pt>
                <c:pt idx="7">
                  <c:v>11.697254485052</c:v>
                </c:pt>
                <c:pt idx="8">
                  <c:v>11.628639475443</c:v>
                </c:pt>
                <c:pt idx="9">
                  <c:v>11.5328529764379</c:v>
                </c:pt>
                <c:pt idx="10">
                  <c:v>11.44494298786865</c:v>
                </c:pt>
                <c:pt idx="11">
                  <c:v>11.25100027511406</c:v>
                </c:pt>
                <c:pt idx="12">
                  <c:v>10.3147590871554</c:v>
                </c:pt>
                <c:pt idx="13">
                  <c:v>9.767675647558251</c:v>
                </c:pt>
                <c:pt idx="14">
                  <c:v>9.458510386573996</c:v>
                </c:pt>
                <c:pt idx="15">
                  <c:v>9.136552320635761</c:v>
                </c:pt>
                <c:pt idx="16">
                  <c:v>8.74292733747912</c:v>
                </c:pt>
              </c:numCache>
            </c:numRef>
          </c:val>
        </c:ser>
        <c:dLbls>
          <c:showLegendKey val="0"/>
          <c:showVal val="0"/>
          <c:showCatName val="0"/>
          <c:showSerName val="0"/>
          <c:showPercent val="0"/>
          <c:showBubbleSize val="0"/>
        </c:dLbls>
        <c:gapWidth val="50"/>
        <c:axId val="-899144288"/>
        <c:axId val="-899141968"/>
      </c:barChart>
      <c:catAx>
        <c:axId val="-899144288"/>
        <c:scaling>
          <c:orientation val="minMax"/>
        </c:scaling>
        <c:delete val="0"/>
        <c:axPos val="b"/>
        <c:numFmt formatCode="General" sourceLinked="0"/>
        <c:majorTickMark val="out"/>
        <c:minorTickMark val="none"/>
        <c:tickLblPos val="nextTo"/>
        <c:txPr>
          <a:bodyPr rot="-5400000" vert="horz"/>
          <a:lstStyle/>
          <a:p>
            <a:pPr>
              <a:defRPr sz="800"/>
            </a:pPr>
            <a:endParaRPr lang="es-ES_tradnl"/>
          </a:p>
        </c:txPr>
        <c:crossAx val="-899141968"/>
        <c:crosses val="autoZero"/>
        <c:auto val="1"/>
        <c:lblAlgn val="ctr"/>
        <c:lblOffset val="100"/>
        <c:noMultiLvlLbl val="0"/>
      </c:catAx>
      <c:valAx>
        <c:axId val="-899141968"/>
        <c:scaling>
          <c:orientation val="minMax"/>
        </c:scaling>
        <c:delete val="0"/>
        <c:axPos val="l"/>
        <c:majorGridlines/>
        <c:numFmt formatCode="0.0" sourceLinked="1"/>
        <c:majorTickMark val="out"/>
        <c:minorTickMark val="none"/>
        <c:tickLblPos val="nextTo"/>
        <c:crossAx val="-899144288"/>
        <c:crosses val="autoZero"/>
        <c:crossBetween val="between"/>
      </c:valAx>
    </c:plotArea>
    <c:legend>
      <c:legendPos val="b"/>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Descenso o aumento</a:t>
            </a:r>
          </a:p>
        </c:rich>
      </c:tx>
      <c:layout>
        <c:manualLayout>
          <c:xMode val="edge"/>
          <c:yMode val="edge"/>
          <c:x val="0.234472222222222"/>
          <c:y val="0.0263504556657733"/>
        </c:manualLayout>
      </c:layout>
      <c:overlay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title>
    <c:autoTitleDeleted val="0"/>
    <c:plotArea>
      <c:layout/>
      <c:barChart>
        <c:barDir val="bar"/>
        <c:grouping val="clustered"/>
        <c:varyColors val="0"/>
        <c:ser>
          <c:idx val="4"/>
          <c:order val="0"/>
          <c:tx>
            <c:strRef>
              <c:f>Hoja1!$F$45</c:f>
              <c:strCache>
                <c:ptCount val="1"/>
                <c:pt idx="0">
                  <c:v>%</c:v>
                </c:pt>
              </c:strCache>
            </c:strRef>
          </c:tx>
          <c:invertIfNegative val="0"/>
          <c:cat>
            <c:strRef>
              <c:f>Hoja1!$A$46:$A$65</c:f>
              <c:strCache>
                <c:ptCount val="20"/>
                <c:pt idx="0">
                  <c:v>Cataluña</c:v>
                </c:pt>
                <c:pt idx="1">
                  <c:v>Galicia</c:v>
                </c:pt>
                <c:pt idx="2">
                  <c:v>C. Valencina</c:v>
                </c:pt>
                <c:pt idx="3">
                  <c:v>Asturias</c:v>
                </c:pt>
                <c:pt idx="4">
                  <c:v>Murcia</c:v>
                </c:pt>
                <c:pt idx="5">
                  <c:v>Andalucía</c:v>
                </c:pt>
                <c:pt idx="6">
                  <c:v>Castilla y Leon</c:v>
                </c:pt>
                <c:pt idx="7">
                  <c:v>Total</c:v>
                </c:pt>
                <c:pt idx="8">
                  <c:v>Aragón</c:v>
                </c:pt>
                <c:pt idx="9">
                  <c:v>País Vasco</c:v>
                </c:pt>
                <c:pt idx="10">
                  <c:v>Baleares</c:v>
                </c:pt>
                <c:pt idx="11">
                  <c:v>Castila La Mancha</c:v>
                </c:pt>
                <c:pt idx="12">
                  <c:v>Rioja</c:v>
                </c:pt>
                <c:pt idx="13">
                  <c:v>Navarra</c:v>
                </c:pt>
                <c:pt idx="14">
                  <c:v>Canarias</c:v>
                </c:pt>
                <c:pt idx="15">
                  <c:v>Extremadura</c:v>
                </c:pt>
                <c:pt idx="16">
                  <c:v>Madrid</c:v>
                </c:pt>
                <c:pt idx="17">
                  <c:v>Cantabria</c:v>
                </c:pt>
                <c:pt idx="18">
                  <c:v>Ceuta</c:v>
                </c:pt>
                <c:pt idx="19">
                  <c:v>Melilla</c:v>
                </c:pt>
              </c:strCache>
            </c:strRef>
          </c:cat>
          <c:val>
            <c:numRef>
              <c:f>Hoja1!$F$46:$F$65</c:f>
              <c:numCache>
                <c:formatCode>0.00</c:formatCode>
                <c:ptCount val="20"/>
                <c:pt idx="0">
                  <c:v>-19.99724690908069</c:v>
                </c:pt>
                <c:pt idx="1">
                  <c:v>-17.68742834416681</c:v>
                </c:pt>
                <c:pt idx="2">
                  <c:v>-16.72277559311748</c:v>
                </c:pt>
                <c:pt idx="3">
                  <c:v>-15.39764555847812</c:v>
                </c:pt>
                <c:pt idx="4">
                  <c:v>-13.7818547463349</c:v>
                </c:pt>
                <c:pt idx="5">
                  <c:v>-13.68980907437651</c:v>
                </c:pt>
                <c:pt idx="6">
                  <c:v>-13.52625722544422</c:v>
                </c:pt>
                <c:pt idx="7">
                  <c:v>-13.17256124052368</c:v>
                </c:pt>
                <c:pt idx="8">
                  <c:v>-12.92221995788331</c:v>
                </c:pt>
                <c:pt idx="9">
                  <c:v>-11.88238336529854</c:v>
                </c:pt>
                <c:pt idx="10">
                  <c:v>-10.59758703028782</c:v>
                </c:pt>
                <c:pt idx="11">
                  <c:v>-10.53543307086615</c:v>
                </c:pt>
                <c:pt idx="12">
                  <c:v>-10.41055718475073</c:v>
                </c:pt>
                <c:pt idx="13">
                  <c:v>-9.430949167791268</c:v>
                </c:pt>
                <c:pt idx="14">
                  <c:v>-6.934755847353282</c:v>
                </c:pt>
                <c:pt idx="15">
                  <c:v>-4.729458881568522</c:v>
                </c:pt>
                <c:pt idx="16">
                  <c:v>-3.906608094282959</c:v>
                </c:pt>
                <c:pt idx="17">
                  <c:v>-2.661450758145683</c:v>
                </c:pt>
                <c:pt idx="18">
                  <c:v>4.195804195804197</c:v>
                </c:pt>
                <c:pt idx="19">
                  <c:v>10.83333333333335</c:v>
                </c:pt>
              </c:numCache>
            </c:numRef>
          </c:val>
        </c:ser>
        <c:dLbls>
          <c:showLegendKey val="0"/>
          <c:showVal val="0"/>
          <c:showCatName val="0"/>
          <c:showSerName val="0"/>
          <c:showPercent val="0"/>
          <c:showBubbleSize val="0"/>
        </c:dLbls>
        <c:gapWidth val="50"/>
        <c:axId val="-899153088"/>
        <c:axId val="-899157104"/>
      </c:barChart>
      <c:catAx>
        <c:axId val="-899153088"/>
        <c:scaling>
          <c:orientation val="minMax"/>
        </c:scaling>
        <c:delete val="0"/>
        <c:axPos val="l"/>
        <c:numFmt formatCode="General" sourceLinked="0"/>
        <c:majorTickMark val="in"/>
        <c:minorTickMark val="none"/>
        <c:tickLblPos val="high"/>
        <c:crossAx val="-899157104"/>
        <c:crosses val="autoZero"/>
        <c:auto val="1"/>
        <c:lblAlgn val="ctr"/>
        <c:lblOffset val="100"/>
        <c:noMultiLvlLbl val="0"/>
      </c:catAx>
      <c:valAx>
        <c:axId val="-899157104"/>
        <c:scaling>
          <c:orientation val="minMax"/>
        </c:scaling>
        <c:delete val="0"/>
        <c:axPos val="b"/>
        <c:majorGridlines/>
        <c:numFmt formatCode="0.00" sourceLinked="1"/>
        <c:majorTickMark val="out"/>
        <c:minorTickMark val="none"/>
        <c:tickLblPos val="nextTo"/>
        <c:crossAx val="-899153088"/>
        <c:crosses val="autoZero"/>
        <c:crossBetween val="between"/>
      </c:valAx>
    </c:plotArea>
    <c:legend>
      <c:legendPos val="b"/>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CD2E-9E43-B547-B5CA-2E6F6EFB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2601</Words>
  <Characters>14311</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Lucas Monroy Morales</cp:lastModifiedBy>
  <cp:revision>2</cp:revision>
  <dcterms:created xsi:type="dcterms:W3CDTF">2017-12-26T19:28:00Z</dcterms:created>
  <dcterms:modified xsi:type="dcterms:W3CDTF">2017-12-26T19:28:00Z</dcterms:modified>
</cp:coreProperties>
</file>