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551F" w:rsidRDefault="005F2229">
      <w:pPr>
        <w:pStyle w:val="Cuerpo"/>
        <w:rPr>
          <w:rStyle w:val="Ninguno"/>
          <w:rFonts w:ascii="Helvetica Neue" w:eastAsia="Helvetica Neue" w:hAnsi="Helvetica Neue" w:cs="Helvetica Neue"/>
        </w:rPr>
      </w:pPr>
      <w:bookmarkStart w:id="0" w:name="_GoBack"/>
      <w:bookmarkEnd w:id="0"/>
      <w:r>
        <w:rPr>
          <w:rStyle w:val="Ninguno"/>
          <w:noProof/>
          <w:lang w:val="es-ES"/>
        </w:rPr>
        <mc:AlternateContent>
          <mc:Choice Requires="wps">
            <w:drawing>
              <wp:anchor distT="0" distB="0" distL="0" distR="0" simplePos="0" relativeHeight="251662848" behindDoc="1" locked="0" layoutInCell="1" allowOverlap="1">
                <wp:simplePos x="0" y="0"/>
                <wp:positionH relativeFrom="page">
                  <wp:posOffset>222250</wp:posOffset>
                </wp:positionH>
                <wp:positionV relativeFrom="page">
                  <wp:posOffset>246380</wp:posOffset>
                </wp:positionV>
                <wp:extent cx="7315200" cy="9601200"/>
                <wp:effectExtent l="3175" t="0" r="0" b="127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6D6CA" id="Rectangle 2" o:spid="_x0000_s1026" style="position:absolute;margin-left:17.5pt;margin-top:19.4pt;width:8in;height:75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" stroked="f" strokeweight="1pt">
                <v:stroke miterlimit="4"/>
                <w10:wrap anchorx="page" anchory="page"/>
              </v:rect>
            </w:pict>
          </mc:Fallback>
        </mc:AlternateContent>
      </w:r>
    </w:p>
    <w:p w:rsidR="00E0551F" w:rsidRDefault="00AE0060">
      <w:pPr>
        <w:pStyle w:val="CuerpoA"/>
        <w:jc w:val="center"/>
        <w:rPr>
          <w:rStyle w:val="Ninguno"/>
          <w:rFonts w:ascii="Helvetica Neue" w:eastAsia="Helvetica Neue" w:hAnsi="Helvetica Neue" w:cs="Helvetica Neue"/>
          <w:color w:val="008080"/>
          <w:sz w:val="28"/>
          <w:szCs w:val="28"/>
          <w:u w:color="008080"/>
        </w:rPr>
      </w:pPr>
      <w:r>
        <w:rPr>
          <w:rStyle w:val="Ninguno"/>
          <w:rFonts w:ascii="Helvetica Neue" w:eastAsia="Helvetica Neue" w:hAnsi="Helvetica Neue" w:cs="Helvetica Neue"/>
          <w:noProof/>
          <w:lang w:val="es-ES"/>
        </w:rPr>
        <w:drawing>
          <wp:inline distT="0" distB="0" distL="0" distR="0">
            <wp:extent cx="4027410" cy="2009140"/>
            <wp:effectExtent l="0" t="0" r="0" b="0"/>
            <wp:docPr id="1073741828" name="officeArt object" descr="../Dropbox/FEFE%20LOGOTIPOS/FEFE%20LOGOS_RGB/LogoLeyenda_1.png"/>
            <wp:cNvGraphicFramePr/>
            <a:graphic xmlns:a="http://schemas.openxmlformats.org/drawingml/2006/main">
              <a:graphicData uri="http://schemas.openxmlformats.org/drawingml/2006/picture">
                <pic:pic xmlns:pic="http://schemas.openxmlformats.org/drawingml/2006/picture">
                  <pic:nvPicPr>
                    <pic:cNvPr id="1073741828" name="../Dropbox/FEFE%20LOGOTIPOS/FEFE%20LOGOS_RGB/LogoLeyenda_1.png" descr="../Dropbox/FEFE%20LOGOTIPOS/FEFE%20LOGOS_RGB/LogoLeyenda_1.png"/>
                    <pic:cNvPicPr>
                      <a:picLocks noChangeAspect="1"/>
                    </pic:cNvPicPr>
                  </pic:nvPicPr>
                  <pic:blipFill>
                    <a:blip r:embed="rId8" cstate="print">
                      <a:extLst/>
                    </a:blip>
                    <a:stretch>
                      <a:fillRect/>
                    </a:stretch>
                  </pic:blipFill>
                  <pic:spPr>
                    <a:xfrm>
                      <a:off x="0" y="0"/>
                      <a:ext cx="4027410" cy="2009140"/>
                    </a:xfrm>
                    <a:prstGeom prst="rect">
                      <a:avLst/>
                    </a:prstGeom>
                    <a:ln w="12700" cap="flat">
                      <a:noFill/>
                      <a:miter lim="400000"/>
                    </a:ln>
                    <a:effectLst/>
                  </pic:spPr>
                </pic:pic>
              </a:graphicData>
            </a:graphic>
          </wp:inline>
        </w:drawing>
      </w:r>
    </w:p>
    <w:p w:rsidR="00E0551F" w:rsidRDefault="00E0551F">
      <w:pPr>
        <w:pStyle w:val="CuerpoA"/>
        <w:rPr>
          <w:rStyle w:val="Ninguno"/>
          <w:rFonts w:ascii="Helvetica Neue" w:eastAsia="Helvetica Neue" w:hAnsi="Helvetica Neue" w:cs="Helvetica Neue"/>
        </w:rPr>
      </w:pPr>
    </w:p>
    <w:p w:rsidR="00E0551F" w:rsidRDefault="00AE0060">
      <w:pPr>
        <w:pStyle w:val="Titulo"/>
        <w:rPr>
          <w:rStyle w:val="NingunoA"/>
        </w:rPr>
      </w:pPr>
      <w:r>
        <w:rPr>
          <w:rStyle w:val="Ninguno"/>
          <w:b/>
          <w:bCs/>
          <w:sz w:val="96"/>
          <w:szCs w:val="96"/>
        </w:rPr>
        <w:t>O</w:t>
      </w:r>
      <w:r>
        <w:rPr>
          <w:rStyle w:val="NingunoA"/>
        </w:rPr>
        <w:t>BSERVATORIO</w:t>
      </w:r>
    </w:p>
    <w:p w:rsidR="00E0551F" w:rsidRDefault="00AE0060">
      <w:pPr>
        <w:pStyle w:val="Titulo"/>
        <w:rPr>
          <w:rStyle w:val="NingunoA"/>
        </w:rPr>
      </w:pPr>
      <w:r>
        <w:rPr>
          <w:rStyle w:val="Ninguno"/>
          <w:b/>
          <w:bCs/>
          <w:sz w:val="72"/>
          <w:szCs w:val="72"/>
        </w:rPr>
        <w:t>D</w:t>
      </w:r>
      <w:r>
        <w:rPr>
          <w:rStyle w:val="NingunoA"/>
        </w:rPr>
        <w:t>EL</w:t>
      </w:r>
    </w:p>
    <w:p w:rsidR="00E0551F" w:rsidRDefault="00AE0060">
      <w:pPr>
        <w:pStyle w:val="Titulo"/>
        <w:rPr>
          <w:rStyle w:val="NingunoA"/>
        </w:rPr>
      </w:pPr>
      <w:r>
        <w:rPr>
          <w:rStyle w:val="Ninguno"/>
          <w:b/>
          <w:bCs/>
          <w:sz w:val="96"/>
          <w:szCs w:val="96"/>
        </w:rPr>
        <w:t>M</w:t>
      </w:r>
      <w:r>
        <w:rPr>
          <w:rStyle w:val="NingunoA"/>
        </w:rPr>
        <w:t>EDICAMENTO</w:t>
      </w:r>
    </w:p>
    <w:p w:rsidR="00E0551F" w:rsidRDefault="00E0551F">
      <w:pPr>
        <w:pStyle w:val="Titulo"/>
        <w:rPr>
          <w:lang w:val="es-ES_tradnl"/>
        </w:rPr>
      </w:pPr>
    </w:p>
    <w:p w:rsidR="00BE58B9" w:rsidRDefault="00BE58B9">
      <w:pPr>
        <w:pStyle w:val="Titulo"/>
        <w:rPr>
          <w:lang w:val="es-ES_tradnl"/>
        </w:rPr>
      </w:pPr>
    </w:p>
    <w:p w:rsidR="00BE58B9" w:rsidRDefault="00BE58B9">
      <w:pPr>
        <w:pStyle w:val="Titulo"/>
        <w:rPr>
          <w:lang w:val="es-ES_tradnl"/>
        </w:rPr>
      </w:pPr>
    </w:p>
    <w:p w:rsidR="00E0551F" w:rsidRDefault="005D392F">
      <w:pPr>
        <w:pStyle w:val="Titulo"/>
        <w:rPr>
          <w:rStyle w:val="Ninguno"/>
          <w:b/>
          <w:bCs/>
          <w:color w:val="404040"/>
          <w:sz w:val="44"/>
          <w:szCs w:val="44"/>
          <w:u w:color="404040"/>
        </w:rPr>
      </w:pPr>
      <w:r>
        <w:rPr>
          <w:rStyle w:val="Ninguno"/>
          <w:b/>
          <w:bCs/>
          <w:color w:val="404040"/>
          <w:sz w:val="44"/>
          <w:szCs w:val="44"/>
          <w:u w:color="404040"/>
        </w:rPr>
        <w:t>~</w:t>
      </w:r>
      <w:r w:rsidR="00BE58B9">
        <w:rPr>
          <w:rStyle w:val="Ninguno"/>
          <w:b/>
          <w:bCs/>
          <w:color w:val="404040"/>
          <w:sz w:val="44"/>
          <w:szCs w:val="44"/>
          <w:u w:color="404040"/>
        </w:rPr>
        <w:t xml:space="preserve"> Enero</w:t>
      </w:r>
      <w:r w:rsidR="00AE0060">
        <w:rPr>
          <w:rStyle w:val="Ninguno"/>
          <w:b/>
          <w:bCs/>
          <w:color w:val="404040"/>
          <w:sz w:val="44"/>
          <w:szCs w:val="44"/>
          <w:u w:color="404040"/>
        </w:rPr>
        <w:t xml:space="preserve"> 201</w:t>
      </w:r>
      <w:r w:rsidR="003154AE">
        <w:rPr>
          <w:rStyle w:val="Ninguno"/>
          <w:b/>
          <w:bCs/>
          <w:color w:val="404040"/>
          <w:sz w:val="44"/>
          <w:szCs w:val="44"/>
          <w:u w:color="404040"/>
        </w:rPr>
        <w:t>9</w:t>
      </w:r>
      <w:r w:rsidR="00AE0060">
        <w:rPr>
          <w:rStyle w:val="Ninguno"/>
          <w:b/>
          <w:bCs/>
          <w:color w:val="404040"/>
          <w:sz w:val="44"/>
          <w:szCs w:val="44"/>
          <w:u w:color="404040"/>
        </w:rPr>
        <w:t xml:space="preserve"> ~</w:t>
      </w:r>
    </w:p>
    <w:p w:rsidR="00E0551F" w:rsidRDefault="00E0551F">
      <w:pPr>
        <w:pStyle w:val="CuerpoA"/>
        <w:jc w:val="center"/>
        <w:rPr>
          <w:rStyle w:val="Ninguno"/>
          <w:rFonts w:ascii="Helvetica Neue" w:eastAsia="Helvetica Neue" w:hAnsi="Helvetica Neue" w:cs="Helvetica Neue"/>
          <w:color w:val="008080"/>
          <w:sz w:val="32"/>
          <w:szCs w:val="32"/>
          <w:u w:color="008080"/>
        </w:rPr>
      </w:pPr>
    </w:p>
    <w:p w:rsidR="00E0551F" w:rsidRDefault="00E0551F">
      <w:pPr>
        <w:pStyle w:val="CuerpoA"/>
        <w:jc w:val="center"/>
        <w:rPr>
          <w:rStyle w:val="Ninguno"/>
          <w:rFonts w:ascii="Helvetica Neue" w:eastAsia="Helvetica Neue" w:hAnsi="Helvetica Neue" w:cs="Helvetica Neue"/>
          <w:color w:val="008080"/>
          <w:sz w:val="32"/>
          <w:szCs w:val="32"/>
          <w:u w:color="008080"/>
        </w:rPr>
      </w:pPr>
    </w:p>
    <w:p w:rsidR="00E0551F" w:rsidRDefault="00E0551F">
      <w:pPr>
        <w:pStyle w:val="CuerpoA"/>
        <w:jc w:val="center"/>
        <w:rPr>
          <w:rStyle w:val="Ninguno"/>
          <w:rFonts w:ascii="Helvetica Neue" w:eastAsia="Helvetica Neue" w:hAnsi="Helvetica Neue" w:cs="Helvetica Neue"/>
          <w:color w:val="008080"/>
          <w:sz w:val="32"/>
          <w:szCs w:val="32"/>
          <w:u w:color="008080"/>
        </w:rPr>
      </w:pPr>
    </w:p>
    <w:p w:rsidR="00E0551F" w:rsidRDefault="00E0551F">
      <w:pPr>
        <w:pStyle w:val="CuerpoA"/>
        <w:jc w:val="center"/>
        <w:rPr>
          <w:rStyle w:val="Ninguno"/>
          <w:rFonts w:ascii="Helvetica Neue" w:eastAsia="Helvetica Neue" w:hAnsi="Helvetica Neue" w:cs="Helvetica Neue"/>
          <w:color w:val="008080"/>
          <w:sz w:val="32"/>
          <w:szCs w:val="32"/>
          <w:u w:color="008080"/>
        </w:rPr>
      </w:pPr>
    </w:p>
    <w:p w:rsidR="00E0551F" w:rsidRDefault="00E0551F">
      <w:pPr>
        <w:pStyle w:val="CuerpoA"/>
        <w:jc w:val="center"/>
        <w:rPr>
          <w:rStyle w:val="Ninguno"/>
          <w:rFonts w:ascii="Helvetica Neue" w:eastAsia="Helvetica Neue" w:hAnsi="Helvetica Neue" w:cs="Helvetica Neue"/>
          <w:color w:val="008080"/>
          <w:sz w:val="32"/>
          <w:szCs w:val="32"/>
          <w:u w:color="008080"/>
        </w:rPr>
      </w:pPr>
    </w:p>
    <w:p w:rsidR="00E0551F" w:rsidRDefault="00AE0060">
      <w:pPr>
        <w:pStyle w:val="Ttulo1"/>
        <w:rPr>
          <w:rStyle w:val="NingunoA"/>
        </w:rPr>
      </w:pPr>
      <w:r>
        <w:rPr>
          <w:rStyle w:val="NingunoA"/>
        </w:rPr>
        <w:t>Presentación</w:t>
      </w:r>
    </w:p>
    <w:p w:rsidR="00E0551F" w:rsidRDefault="00E0551F">
      <w:pPr>
        <w:pStyle w:val="CuerpoA"/>
        <w:jc w:val="both"/>
        <w:rPr>
          <w:rStyle w:val="Ninguno"/>
          <w:rFonts w:ascii="Helvetica Neue" w:eastAsia="Helvetica Neue" w:hAnsi="Helvetica Neue" w:cs="Helvetica Neue"/>
          <w:color w:val="31849B"/>
          <w:sz w:val="16"/>
          <w:szCs w:val="16"/>
          <w:u w:color="31849B"/>
        </w:rPr>
      </w:pPr>
    </w:p>
    <w:p w:rsidR="00CA01E2" w:rsidRPr="00CA01E2" w:rsidRDefault="00AE0060">
      <w:pPr>
        <w:pStyle w:val="CuerpoA"/>
        <w:jc w:val="both"/>
        <w:rPr>
          <w:rStyle w:val="Ninguno"/>
          <w:rFonts w:ascii="Helvetica Neue" w:eastAsia="Helvetica Neue" w:hAnsi="Helvetica Neue" w:cs="Helvetica Neue"/>
          <w:b/>
          <w:bCs/>
        </w:rPr>
      </w:pPr>
      <w:r>
        <w:rPr>
          <w:rStyle w:val="Ninguno"/>
          <w:rFonts w:ascii="Helvetica Neue" w:hAnsi="Helvetica Neue"/>
        </w:rPr>
        <w:t>Los datos de consumo de medicamentos</w:t>
      </w:r>
      <w:r w:rsidR="00A35BB7">
        <w:rPr>
          <w:rStyle w:val="Ninguno"/>
          <w:rFonts w:ascii="Helvetica Neue" w:hAnsi="Helvetica Neue"/>
        </w:rPr>
        <w:t xml:space="preserve"> correspondientes al mes de enero de 2019 </w:t>
      </w:r>
      <w:r>
        <w:rPr>
          <w:rStyle w:val="Ninguno"/>
          <w:rFonts w:ascii="Helvetica Neue" w:hAnsi="Helvetica Neue"/>
        </w:rPr>
        <w:t xml:space="preserve">se han facilitado </w:t>
      </w:r>
      <w:r w:rsidR="00A35BB7">
        <w:rPr>
          <w:rStyle w:val="Ninguno"/>
          <w:rFonts w:ascii="Helvetica Neue" w:hAnsi="Helvetica Neue"/>
        </w:rPr>
        <w:t xml:space="preserve">por el Ministerio </w:t>
      </w:r>
      <w:r w:rsidR="00A35BB7" w:rsidRPr="0014043A">
        <w:rPr>
          <w:rStyle w:val="Ninguno"/>
          <w:rFonts w:ascii="Helvetica Neue" w:hAnsi="Helvetica Neue"/>
          <w:b/>
        </w:rPr>
        <w:t>con un importante retraso respecto a otros meses</w:t>
      </w:r>
      <w:r>
        <w:rPr>
          <w:rStyle w:val="Ninguno"/>
          <w:rFonts w:ascii="Helvetica Neue" w:hAnsi="Helvetica Neue"/>
        </w:rPr>
        <w:t>,</w:t>
      </w:r>
      <w:r w:rsidR="00A35BB7">
        <w:rPr>
          <w:rStyle w:val="Ninguno"/>
          <w:rFonts w:ascii="Helvetica Neue" w:hAnsi="Helvetica Neue"/>
        </w:rPr>
        <w:t xml:space="preserve"> ya que aparecieron en su WEB el día 8 de marzo pasado. Estos datos indican </w:t>
      </w:r>
      <w:r w:rsidR="00564E81">
        <w:rPr>
          <w:rStyle w:val="Ninguno"/>
          <w:rFonts w:ascii="Helvetica Neue" w:hAnsi="Helvetica Neue"/>
        </w:rPr>
        <w:t xml:space="preserve">que se ha producido un incremento del gasto del +2,38% </w:t>
      </w:r>
      <w:r w:rsidR="00CA01E2">
        <w:rPr>
          <w:rStyle w:val="Ninguno"/>
          <w:rFonts w:ascii="Helvetica Neue" w:hAnsi="Helvetica Neue"/>
        </w:rPr>
        <w:t>con</w:t>
      </w:r>
      <w:r w:rsidR="00564E81">
        <w:rPr>
          <w:rStyle w:val="Ninguno"/>
          <w:rFonts w:ascii="Helvetica Neue" w:hAnsi="Helvetica Neue"/>
        </w:rPr>
        <w:t xml:space="preserve"> </w:t>
      </w:r>
      <w:r w:rsidR="00EE2664">
        <w:rPr>
          <w:rStyle w:val="Ninguno"/>
          <w:rFonts w:ascii="Helvetica Neue" w:hAnsi="Helvetica Neue"/>
        </w:rPr>
        <w:t>respecto al mismo mes del año anterior</w:t>
      </w:r>
      <w:r>
        <w:rPr>
          <w:rStyle w:val="Ninguno"/>
          <w:rFonts w:ascii="Helvetica Neue" w:hAnsi="Helvetica Neue"/>
        </w:rPr>
        <w:t xml:space="preserve">. El aumento de gasto interanual es </w:t>
      </w:r>
      <w:r>
        <w:rPr>
          <w:rStyle w:val="Ninguno"/>
          <w:rFonts w:ascii="Helvetica Neue" w:hAnsi="Helvetica Neue"/>
          <w:b/>
          <w:bCs/>
        </w:rPr>
        <w:t xml:space="preserve">de </w:t>
      </w:r>
      <w:r w:rsidR="00564E81">
        <w:rPr>
          <w:rStyle w:val="Ninguno"/>
          <w:rFonts w:ascii="Helvetica Neue" w:hAnsi="Helvetica Neue"/>
          <w:b/>
          <w:bCs/>
        </w:rPr>
        <w:t>275,5</w:t>
      </w:r>
      <w:r>
        <w:rPr>
          <w:rStyle w:val="Ninguno"/>
          <w:rFonts w:ascii="Helvetica Neue" w:hAnsi="Helvetica Neue"/>
          <w:b/>
          <w:bCs/>
        </w:rPr>
        <w:t xml:space="preserve">  millones de euros. </w:t>
      </w:r>
      <w:r w:rsidR="00EB4AEE">
        <w:rPr>
          <w:rStyle w:val="Ninguno"/>
          <w:rFonts w:ascii="Helvetica Neue" w:hAnsi="Helvetica Neue"/>
          <w:bCs/>
        </w:rPr>
        <w:t xml:space="preserve">Parece claro que </w:t>
      </w:r>
      <w:r w:rsidR="00EB4AEE" w:rsidRPr="0014043A">
        <w:rPr>
          <w:rStyle w:val="Ninguno"/>
          <w:rFonts w:ascii="Helvetica Neue" w:hAnsi="Helvetica Neue"/>
          <w:b/>
          <w:bCs/>
        </w:rPr>
        <w:t>la Orden de Precios de referencia que entró en vigor en este mismo mes de enero ha tendido muy poca influencia en la evolución del precio medio</w:t>
      </w:r>
      <w:r w:rsidR="00EB4AEE">
        <w:rPr>
          <w:rStyle w:val="Ninguno"/>
          <w:rFonts w:ascii="Helvetica Neue" w:hAnsi="Helvetica Neue"/>
          <w:bCs/>
        </w:rPr>
        <w:t>, ya que ha aumentado un 1,36%.</w:t>
      </w:r>
      <w:r w:rsidR="00CA01E2">
        <w:rPr>
          <w:rStyle w:val="Ninguno"/>
          <w:rFonts w:ascii="Helvetica Neue" w:hAnsi="Helvetica Neue"/>
          <w:bCs/>
        </w:rPr>
        <w:t xml:space="preserve"> </w:t>
      </w:r>
      <w:r w:rsidR="00CA01E2" w:rsidRPr="00CA01E2">
        <w:rPr>
          <w:rStyle w:val="Ninguno"/>
          <w:rFonts w:ascii="Helvetica Neue" w:hAnsi="Helvetica Neue"/>
          <w:b/>
          <w:bCs/>
        </w:rPr>
        <w:t>En conjunto, el gasto en farmacia sigue muy contenido</w:t>
      </w:r>
      <w:r w:rsidR="00CA01E2">
        <w:rPr>
          <w:rStyle w:val="Ninguno"/>
          <w:rFonts w:ascii="Helvetica Neue" w:hAnsi="Helvetica Neue"/>
          <w:b/>
          <w:bCs/>
        </w:rPr>
        <w:t>,</w:t>
      </w:r>
      <w:r w:rsidR="00CA01E2" w:rsidRPr="00CA01E2">
        <w:rPr>
          <w:rStyle w:val="Ninguno"/>
          <w:rFonts w:ascii="Helvetica Neue" w:hAnsi="Helvetica Neue"/>
          <w:b/>
          <w:bCs/>
        </w:rPr>
        <w:t xml:space="preserve"> y ya ha sido superado</w:t>
      </w:r>
      <w:r w:rsidR="00CA01E2">
        <w:rPr>
          <w:rStyle w:val="Ninguno"/>
          <w:rFonts w:ascii="Helvetica Neue" w:hAnsi="Helvetica Neue"/>
          <w:b/>
          <w:bCs/>
        </w:rPr>
        <w:t>,</w:t>
      </w:r>
      <w:r w:rsidR="00CA01E2" w:rsidRPr="00CA01E2">
        <w:rPr>
          <w:rStyle w:val="Ninguno"/>
          <w:rFonts w:ascii="Helvetica Neue" w:hAnsi="Helvetica Neue"/>
          <w:b/>
          <w:bCs/>
        </w:rPr>
        <w:t xml:space="preserve"> por el gasto de medicamentos en hospitales.</w:t>
      </w:r>
    </w:p>
    <w:p w:rsidR="00E0551F" w:rsidRDefault="00AE0060">
      <w:pPr>
        <w:pStyle w:val="Ttulo1"/>
        <w:rPr>
          <w:rStyle w:val="NingunoA"/>
        </w:rPr>
      </w:pPr>
      <w:r>
        <w:rPr>
          <w:rStyle w:val="NingunoA"/>
        </w:rPr>
        <w:t>Destacado en este Observatorio</w:t>
      </w:r>
    </w:p>
    <w:p w:rsidR="00EE2664" w:rsidRDefault="00EE2664" w:rsidP="00EE2664">
      <w:pPr>
        <w:pStyle w:val="Cuerpo"/>
      </w:pPr>
    </w:p>
    <w:p w:rsidR="003154AE" w:rsidRPr="0014043A" w:rsidRDefault="00564E81" w:rsidP="00680C08">
      <w:pPr>
        <w:pStyle w:val="Cuerpo"/>
        <w:numPr>
          <w:ilvl w:val="0"/>
          <w:numId w:val="4"/>
        </w:numPr>
        <w:jc w:val="both"/>
        <w:rPr>
          <w:b/>
          <w:color w:val="92D050"/>
        </w:rPr>
      </w:pPr>
      <w:r>
        <w:rPr>
          <w:rFonts w:asciiTheme="minorHAnsi" w:hAnsiTheme="minorHAnsi"/>
          <w:b/>
          <w:color w:val="00B050"/>
        </w:rPr>
        <w:t>El número de farmacéuticos que trabajan en las farmacias depende en primer lugar de la población atendida, y en segundo lugar, de como la Ordenación Farmacéutica aborda la presencia del farmacéutico.</w:t>
      </w:r>
    </w:p>
    <w:p w:rsidR="0014043A" w:rsidRPr="00564E81" w:rsidRDefault="0014043A" w:rsidP="0014043A">
      <w:pPr>
        <w:pStyle w:val="Cuerpo"/>
        <w:ind w:left="786"/>
        <w:jc w:val="both"/>
        <w:rPr>
          <w:b/>
          <w:color w:val="92D050"/>
        </w:rPr>
      </w:pPr>
    </w:p>
    <w:p w:rsidR="00564E81" w:rsidRPr="0014043A" w:rsidRDefault="00564E81" w:rsidP="00564E81">
      <w:pPr>
        <w:pStyle w:val="Cuerpo"/>
        <w:jc w:val="both"/>
        <w:rPr>
          <w:rFonts w:asciiTheme="minorHAnsi" w:hAnsiTheme="minorHAnsi"/>
          <w:color w:val="auto"/>
        </w:rPr>
      </w:pPr>
      <w:r>
        <w:rPr>
          <w:rFonts w:asciiTheme="minorHAnsi" w:hAnsiTheme="minorHAnsi"/>
          <w:color w:val="auto"/>
        </w:rPr>
        <w:t>El número de farmacéuticos contratados que trabajan en las farmacias oscila entre 1,89 en el País Vasco y 0,51 en Extremadura</w:t>
      </w:r>
      <w:r w:rsidR="001004EB">
        <w:rPr>
          <w:rFonts w:asciiTheme="minorHAnsi" w:hAnsiTheme="minorHAnsi"/>
          <w:color w:val="auto"/>
        </w:rPr>
        <w:t>. Esta diferencia, superior a tres veces, se debe fundamentalmente a la población atendida y, también, a la forma en que se aborda la presencia del farmacéutico.</w:t>
      </w:r>
      <w:r w:rsidR="00EB4AEE">
        <w:rPr>
          <w:rFonts w:asciiTheme="minorHAnsi" w:hAnsiTheme="minorHAnsi"/>
          <w:color w:val="auto"/>
        </w:rPr>
        <w:t xml:space="preserve"> </w:t>
      </w:r>
      <w:r w:rsidR="00EB4AEE" w:rsidRPr="0014043A">
        <w:rPr>
          <w:rFonts w:asciiTheme="minorHAnsi" w:hAnsiTheme="minorHAnsi"/>
          <w:color w:val="auto"/>
        </w:rPr>
        <w:t>El cambio</w:t>
      </w:r>
      <w:r w:rsidR="00BE58B9">
        <w:rPr>
          <w:rFonts w:asciiTheme="minorHAnsi" w:hAnsiTheme="minorHAnsi"/>
          <w:color w:val="auto"/>
        </w:rPr>
        <w:t xml:space="preserve"> inicialmente</w:t>
      </w:r>
      <w:r w:rsidR="00EB4AEE" w:rsidRPr="0014043A">
        <w:rPr>
          <w:rFonts w:asciiTheme="minorHAnsi" w:hAnsiTheme="minorHAnsi"/>
          <w:color w:val="auto"/>
        </w:rPr>
        <w:t xml:space="preserve"> introducido en la Ley de Galicia</w:t>
      </w:r>
      <w:r w:rsidR="00BE58B9">
        <w:rPr>
          <w:rFonts w:asciiTheme="minorHAnsi" w:hAnsiTheme="minorHAnsi"/>
          <w:color w:val="auto"/>
        </w:rPr>
        <w:t>, y modificado gracias a la intervención de la Patronal FEFGA</w:t>
      </w:r>
      <w:r w:rsidR="00EB4AEE" w:rsidRPr="0014043A">
        <w:rPr>
          <w:rFonts w:asciiTheme="minorHAnsi" w:hAnsiTheme="minorHAnsi"/>
          <w:color w:val="auto"/>
        </w:rPr>
        <w:t xml:space="preserve">, </w:t>
      </w:r>
      <w:r w:rsidR="00BE58B9">
        <w:rPr>
          <w:rFonts w:asciiTheme="minorHAnsi" w:hAnsiTheme="minorHAnsi"/>
          <w:color w:val="auto"/>
        </w:rPr>
        <w:t xml:space="preserve">permitirá mantener la buena situación </w:t>
      </w:r>
      <w:r w:rsidR="00EB4AEE" w:rsidRPr="0014043A">
        <w:rPr>
          <w:rFonts w:asciiTheme="minorHAnsi" w:hAnsiTheme="minorHAnsi"/>
          <w:color w:val="auto"/>
        </w:rPr>
        <w:t>de contratación en que se encontraba en la Ley anterior.</w:t>
      </w:r>
    </w:p>
    <w:p w:rsidR="00564E81" w:rsidRPr="00564E81" w:rsidRDefault="00564E81" w:rsidP="00564E81">
      <w:pPr>
        <w:pStyle w:val="Cuerpo"/>
        <w:jc w:val="both"/>
        <w:rPr>
          <w:color w:val="92D050"/>
        </w:rPr>
      </w:pPr>
    </w:p>
    <w:p w:rsidR="001004EB" w:rsidRPr="001004EB" w:rsidRDefault="001004EB" w:rsidP="001738A0">
      <w:pPr>
        <w:pStyle w:val="Cuerpo"/>
        <w:numPr>
          <w:ilvl w:val="0"/>
          <w:numId w:val="4"/>
        </w:numPr>
        <w:jc w:val="both"/>
        <w:rPr>
          <w:rFonts w:asciiTheme="minorHAnsi" w:hAnsiTheme="minorHAnsi"/>
          <w:color w:val="auto"/>
        </w:rPr>
      </w:pPr>
      <w:r>
        <w:rPr>
          <w:b/>
          <w:color w:val="00B050"/>
        </w:rPr>
        <w:t>Top Ten de medicamentos en unidades y valores en las farmacias en 20118.</w:t>
      </w:r>
    </w:p>
    <w:p w:rsidR="001004EB" w:rsidRDefault="001004EB" w:rsidP="001004EB">
      <w:pPr>
        <w:pStyle w:val="Cuerpo"/>
        <w:jc w:val="both"/>
        <w:rPr>
          <w:color w:val="auto"/>
        </w:rPr>
      </w:pPr>
      <w:r>
        <w:rPr>
          <w:color w:val="auto"/>
        </w:rPr>
        <w:t xml:space="preserve">Como en años anteriores damos la lista de medicamentos </w:t>
      </w:r>
      <w:r w:rsidR="005B3AC5">
        <w:rPr>
          <w:color w:val="auto"/>
        </w:rPr>
        <w:t>más</w:t>
      </w:r>
      <w:r>
        <w:rPr>
          <w:color w:val="auto"/>
        </w:rPr>
        <w:t xml:space="preserve"> vendidos en las farmacias españolas. En el año 2018 </w:t>
      </w:r>
      <w:r w:rsidR="005B3AC5">
        <w:rPr>
          <w:color w:val="auto"/>
        </w:rPr>
        <w:t>el primer puesto de la lista en unidades lo ocupa Nolotil y, en valores Clexane.</w:t>
      </w:r>
      <w:r w:rsidR="001416D2">
        <w:rPr>
          <w:color w:val="auto"/>
        </w:rPr>
        <w:t xml:space="preserve"> A la vista de los medicamentos más vendidos se hace una reflexión sobre la evolución de la terapéutica</w:t>
      </w:r>
      <w:r w:rsidR="00EB4AEE">
        <w:rPr>
          <w:color w:val="auto"/>
        </w:rPr>
        <w:t xml:space="preserve"> en España.</w:t>
      </w:r>
    </w:p>
    <w:p w:rsidR="005B3AC5" w:rsidRPr="001004EB" w:rsidRDefault="005B3AC5" w:rsidP="001004EB">
      <w:pPr>
        <w:pStyle w:val="Cuerpo"/>
        <w:jc w:val="both"/>
        <w:rPr>
          <w:rFonts w:asciiTheme="minorHAnsi" w:hAnsiTheme="minorHAnsi"/>
          <w:color w:val="auto"/>
        </w:rPr>
      </w:pPr>
    </w:p>
    <w:p w:rsidR="00CF3C56" w:rsidRPr="00E160B3" w:rsidRDefault="001416D2" w:rsidP="00680C08">
      <w:pPr>
        <w:pStyle w:val="Cuerpo"/>
        <w:numPr>
          <w:ilvl w:val="0"/>
          <w:numId w:val="4"/>
        </w:numPr>
        <w:jc w:val="both"/>
        <w:rPr>
          <w:b/>
          <w:color w:val="92D050"/>
        </w:rPr>
      </w:pPr>
      <w:r>
        <w:rPr>
          <w:rFonts w:asciiTheme="minorHAnsi" w:hAnsiTheme="minorHAnsi"/>
          <w:b/>
          <w:color w:val="00B050"/>
        </w:rPr>
        <w:t>V</w:t>
      </w:r>
      <w:r w:rsidR="003154AE">
        <w:rPr>
          <w:rFonts w:asciiTheme="minorHAnsi" w:hAnsiTheme="minorHAnsi"/>
          <w:b/>
          <w:color w:val="00B050"/>
        </w:rPr>
        <w:t>erificación de medicamentos</w:t>
      </w:r>
      <w:r>
        <w:rPr>
          <w:rFonts w:asciiTheme="minorHAnsi" w:hAnsiTheme="minorHAnsi"/>
          <w:b/>
          <w:color w:val="00B050"/>
        </w:rPr>
        <w:t>: problemas de su implantación inicial.</w:t>
      </w:r>
    </w:p>
    <w:p w:rsidR="001416D2" w:rsidRDefault="001416D2" w:rsidP="00E160B3">
      <w:pPr>
        <w:pStyle w:val="Cuerpo"/>
        <w:jc w:val="both"/>
        <w:rPr>
          <w:rFonts w:asciiTheme="minorHAnsi" w:hAnsiTheme="minorHAnsi"/>
        </w:rPr>
      </w:pPr>
      <w:r>
        <w:rPr>
          <w:rFonts w:asciiTheme="minorHAnsi" w:hAnsiTheme="minorHAnsi"/>
        </w:rPr>
        <w:t xml:space="preserve">Aunque se puede afirmar que la implantación de la verificación de medicamentos se ha producido en todas las farmacias, </w:t>
      </w:r>
      <w:r w:rsidRPr="0014043A">
        <w:rPr>
          <w:rFonts w:asciiTheme="minorHAnsi" w:hAnsiTheme="minorHAnsi"/>
          <w:b/>
        </w:rPr>
        <w:t>sigue habiendo problemas</w:t>
      </w:r>
      <w:r w:rsidR="00EB4AEE">
        <w:rPr>
          <w:rFonts w:asciiTheme="minorHAnsi" w:hAnsiTheme="minorHAnsi"/>
        </w:rPr>
        <w:t>,</w:t>
      </w:r>
      <w:r>
        <w:rPr>
          <w:rFonts w:asciiTheme="minorHAnsi" w:hAnsiTheme="minorHAnsi"/>
        </w:rPr>
        <w:t xml:space="preserve"> </w:t>
      </w:r>
      <w:r w:rsidRPr="0014043A">
        <w:rPr>
          <w:rFonts w:asciiTheme="minorHAnsi" w:hAnsiTheme="minorHAnsi"/>
          <w:b/>
        </w:rPr>
        <w:t>y el periodo transitorio se va a prolongar durante varios años.</w:t>
      </w:r>
      <w:r>
        <w:rPr>
          <w:rFonts w:asciiTheme="minorHAnsi" w:hAnsiTheme="minorHAnsi"/>
        </w:rPr>
        <w:t xml:space="preserve"> Aunque pueda seguir la tramitación del Proyecto de Real Decreto para desarrollar la verificación de medicamentos en el Sistema Nacional de Salud, la convocatoria de elecciones supone un nuevo interrogante</w:t>
      </w:r>
      <w:r w:rsidR="00EB4AEE">
        <w:rPr>
          <w:rFonts w:asciiTheme="minorHAnsi" w:hAnsiTheme="minorHAnsi"/>
        </w:rPr>
        <w:t xml:space="preserve"> ya que aleja el desarrollo de los precios notificados y la eliminación del </w:t>
      </w:r>
      <w:r w:rsidR="00CA01E2">
        <w:rPr>
          <w:rFonts w:asciiTheme="minorHAnsi" w:hAnsiTheme="minorHAnsi"/>
        </w:rPr>
        <w:t>cupón</w:t>
      </w:r>
      <w:r w:rsidR="00EB4AEE">
        <w:rPr>
          <w:rFonts w:asciiTheme="minorHAnsi" w:hAnsiTheme="minorHAnsi"/>
        </w:rPr>
        <w:t>-precinto.</w:t>
      </w:r>
    </w:p>
    <w:p w:rsidR="00CA01E2" w:rsidRDefault="00CA01E2" w:rsidP="00E160B3">
      <w:pPr>
        <w:pStyle w:val="Cuerpo"/>
        <w:jc w:val="both"/>
        <w:rPr>
          <w:rStyle w:val="NingunoA"/>
          <w:rFonts w:asciiTheme="minorHAnsi" w:hAnsiTheme="minorHAnsi"/>
          <w:b/>
          <w:color w:val="00B050"/>
          <w:sz w:val="26"/>
        </w:rPr>
      </w:pPr>
    </w:p>
    <w:p w:rsidR="00E0551F" w:rsidRPr="00E160B3" w:rsidRDefault="00AE0060" w:rsidP="00E160B3">
      <w:pPr>
        <w:pStyle w:val="Cuerpo"/>
        <w:jc w:val="both"/>
        <w:rPr>
          <w:rStyle w:val="NingunoA"/>
          <w:rFonts w:asciiTheme="minorHAnsi" w:hAnsiTheme="minorHAnsi"/>
          <w:b/>
          <w:color w:val="00B050"/>
          <w:sz w:val="26"/>
        </w:rPr>
      </w:pPr>
      <w:r w:rsidRPr="00E160B3">
        <w:rPr>
          <w:rStyle w:val="NingunoA"/>
          <w:rFonts w:asciiTheme="minorHAnsi" w:hAnsiTheme="minorHAnsi"/>
          <w:b/>
          <w:color w:val="00B050"/>
          <w:sz w:val="26"/>
        </w:rPr>
        <w:t xml:space="preserve">Datos mensuales y acumulados del gasto en </w:t>
      </w:r>
      <w:r w:rsidR="00CA01E2">
        <w:rPr>
          <w:rStyle w:val="NingunoA"/>
          <w:rFonts w:asciiTheme="minorHAnsi" w:hAnsiTheme="minorHAnsi"/>
          <w:b/>
          <w:color w:val="00B050"/>
          <w:sz w:val="26"/>
        </w:rPr>
        <w:t>enero</w:t>
      </w:r>
    </w:p>
    <w:p w:rsidR="00E0551F" w:rsidRDefault="00E0551F">
      <w:pPr>
        <w:pStyle w:val="CuerpoA"/>
        <w:jc w:val="both"/>
        <w:rPr>
          <w:rStyle w:val="Ninguno"/>
          <w:rFonts w:ascii="Helvetica Neue" w:eastAsia="Helvetica Neue" w:hAnsi="Helvetica Neue" w:cs="Helvetica Neue"/>
          <w:color w:val="31849B"/>
          <w:sz w:val="16"/>
          <w:szCs w:val="16"/>
          <w:u w:color="31849B"/>
        </w:rPr>
      </w:pPr>
    </w:p>
    <w:p w:rsidR="00E0551F" w:rsidRDefault="00AE0060">
      <w:pPr>
        <w:pStyle w:val="CuerpoA"/>
        <w:jc w:val="both"/>
        <w:rPr>
          <w:rStyle w:val="Ninguno"/>
          <w:rFonts w:ascii="Helvetica Neue" w:eastAsia="Helvetica Neue" w:hAnsi="Helvetica Neue" w:cs="Helvetica Neue"/>
        </w:rPr>
      </w:pPr>
      <w:r w:rsidRPr="00A51252">
        <w:rPr>
          <w:rStyle w:val="Ninguno"/>
          <w:rFonts w:asciiTheme="minorHAnsi" w:hAnsiTheme="minorHAnsi"/>
        </w:rPr>
        <w:t>En</w:t>
      </w:r>
      <w:r>
        <w:rPr>
          <w:rStyle w:val="Ninguno"/>
          <w:rFonts w:ascii="Helvetica Neue" w:hAnsi="Helvetica Neue"/>
        </w:rPr>
        <w:t xml:space="preserve"> cuanto a los datos mensuales del gasto en </w:t>
      </w:r>
      <w:r w:rsidR="00CA01E2">
        <w:rPr>
          <w:rStyle w:val="Ninguno"/>
          <w:rFonts w:ascii="Helvetica Neue" w:hAnsi="Helvetica Neue"/>
        </w:rPr>
        <w:t>enero</w:t>
      </w:r>
      <w:r>
        <w:rPr>
          <w:rStyle w:val="Ninguno"/>
          <w:rFonts w:ascii="Helvetica Neue" w:hAnsi="Helvetica Neue"/>
        </w:rPr>
        <w:t xml:space="preserve">, el número de recetas alcanza una cifra de </w:t>
      </w:r>
      <w:r w:rsidR="00CA01E2">
        <w:rPr>
          <w:rStyle w:val="Ninguno"/>
          <w:rFonts w:ascii="Helvetica Neue" w:hAnsi="Helvetica Neue"/>
        </w:rPr>
        <w:t>84,8</w:t>
      </w:r>
      <w:r>
        <w:rPr>
          <w:rStyle w:val="Ninguno"/>
          <w:rFonts w:ascii="Helvetica Neue" w:hAnsi="Helvetica Neue"/>
        </w:rPr>
        <w:t xml:space="preserve"> millones</w:t>
      </w:r>
      <w:r w:rsidR="00CA01E2">
        <w:rPr>
          <w:rStyle w:val="Ninguno"/>
          <w:rFonts w:ascii="Helvetica Neue" w:hAnsi="Helvetica Neue"/>
        </w:rPr>
        <w:t>, lo que representa un aumento</w:t>
      </w:r>
      <w:r>
        <w:rPr>
          <w:rStyle w:val="Ninguno"/>
          <w:rFonts w:ascii="Helvetica Neue" w:hAnsi="Helvetica Neue"/>
        </w:rPr>
        <w:t xml:space="preserve"> del </w:t>
      </w:r>
      <w:r w:rsidR="00CA01E2">
        <w:rPr>
          <w:rStyle w:val="Ninguno"/>
          <w:rFonts w:ascii="Helvetica Neue" w:hAnsi="Helvetica Neue"/>
        </w:rPr>
        <w:t>1%</w:t>
      </w:r>
      <w:r>
        <w:rPr>
          <w:rStyle w:val="Ninguno"/>
          <w:rFonts w:ascii="Helvetica Neue" w:hAnsi="Helvetica Neue"/>
        </w:rPr>
        <w:t xml:space="preserve"> con respecto al mismo mes del año anterior, que fue de </w:t>
      </w:r>
      <w:r w:rsidR="00CA01E2">
        <w:rPr>
          <w:rStyle w:val="Ninguno"/>
          <w:rFonts w:ascii="Helvetica Neue" w:hAnsi="Helvetica Neue"/>
        </w:rPr>
        <w:t>83,9</w:t>
      </w:r>
      <w:r w:rsidR="00680C08">
        <w:rPr>
          <w:rStyle w:val="Ninguno"/>
          <w:rFonts w:ascii="Helvetica Neue" w:hAnsi="Helvetica Neue"/>
        </w:rPr>
        <w:t xml:space="preserve"> millones. El gasto aumenta un </w:t>
      </w:r>
      <w:r w:rsidR="00CA01E2">
        <w:rPr>
          <w:rStyle w:val="Ninguno"/>
          <w:rFonts w:ascii="Helvetica Neue" w:hAnsi="Helvetica Neue"/>
        </w:rPr>
        <w:t>2,38</w:t>
      </w:r>
      <w:r w:rsidRPr="00A05AB7">
        <w:rPr>
          <w:rStyle w:val="Ninguno"/>
          <w:rFonts w:ascii="Helvetica Neue" w:hAnsi="Helvetica Neue"/>
          <w:b/>
        </w:rPr>
        <w:t>%</w:t>
      </w:r>
      <w:r>
        <w:rPr>
          <w:rStyle w:val="Ninguno"/>
          <w:rFonts w:ascii="Helvetica Neue" w:hAnsi="Helvetica Neue"/>
        </w:rPr>
        <w:t xml:space="preserve"> y, el gasto medio por receta aumenta un </w:t>
      </w:r>
      <w:r w:rsidR="00680C08">
        <w:rPr>
          <w:rStyle w:val="Ninguno"/>
          <w:rFonts w:ascii="Helvetica Neue" w:hAnsi="Helvetica Neue"/>
          <w:b/>
          <w:bCs/>
        </w:rPr>
        <w:t>1,</w:t>
      </w:r>
      <w:r w:rsidR="00CA01E2">
        <w:rPr>
          <w:rStyle w:val="Ninguno"/>
          <w:rFonts w:ascii="Helvetica Neue" w:hAnsi="Helvetica Neue"/>
          <w:b/>
          <w:bCs/>
        </w:rPr>
        <w:t>36</w:t>
      </w:r>
      <w:r>
        <w:rPr>
          <w:rStyle w:val="Ninguno"/>
          <w:rFonts w:ascii="Helvetica Neue" w:hAnsi="Helvetica Neue"/>
          <w:b/>
          <w:bCs/>
        </w:rPr>
        <w:t>%</w:t>
      </w:r>
      <w:r>
        <w:rPr>
          <w:rStyle w:val="Ninguno"/>
          <w:rFonts w:ascii="Helvetica Neue" w:hAnsi="Helvetica Neue"/>
        </w:rPr>
        <w:t xml:space="preserve">, </w:t>
      </w:r>
    </w:p>
    <w:p w:rsidR="00E0551F" w:rsidRDefault="00AE0060">
      <w:pPr>
        <w:pStyle w:val="Ttulo1"/>
        <w:rPr>
          <w:rStyle w:val="NingunoA"/>
        </w:rPr>
      </w:pPr>
      <w:r>
        <w:rPr>
          <w:rStyle w:val="NingunoA"/>
        </w:rPr>
        <w:t>Evolución de la Facturación de recetas en los últimos meses</w:t>
      </w:r>
    </w:p>
    <w:p w:rsidR="00E0551F" w:rsidRDefault="00AE0060">
      <w:pPr>
        <w:pStyle w:val="Ttulo1"/>
        <w:rPr>
          <w:rStyle w:val="NingunoA"/>
        </w:rPr>
      </w:pPr>
      <w:r>
        <w:rPr>
          <w:rStyle w:val="NingunoA"/>
        </w:rPr>
        <w:t>Evolución y tendencias en el mercado financiado</w:t>
      </w:r>
    </w:p>
    <w:p w:rsidR="00E0551F" w:rsidRDefault="00E0551F">
      <w:pPr>
        <w:pStyle w:val="Cuerpo"/>
      </w:pPr>
    </w:p>
    <w:p w:rsidR="00E0551F" w:rsidRDefault="00AE0060">
      <w:pPr>
        <w:pStyle w:val="CuerpoA"/>
        <w:jc w:val="both"/>
        <w:rPr>
          <w:rStyle w:val="Ninguno"/>
          <w:rFonts w:ascii="Helvetica Neue" w:hAnsi="Helvetica Neue"/>
          <w:u w:color="008080"/>
        </w:rPr>
      </w:pPr>
      <w:r>
        <w:rPr>
          <w:rStyle w:val="Ninguno"/>
          <w:rFonts w:ascii="Helvetica Neue" w:hAnsi="Helvetica Neue"/>
          <w:u w:color="008080"/>
        </w:rPr>
        <w:t xml:space="preserve">La evolución del gasto es </w:t>
      </w:r>
      <w:r w:rsidR="00CF3C56">
        <w:rPr>
          <w:rStyle w:val="Ninguno"/>
          <w:rFonts w:ascii="Helvetica Neue" w:hAnsi="Helvetica Neue"/>
          <w:u w:color="008080"/>
        </w:rPr>
        <w:t>positiva</w:t>
      </w:r>
      <w:r>
        <w:rPr>
          <w:rStyle w:val="Ninguno"/>
          <w:rFonts w:ascii="Helvetica Neue" w:hAnsi="Helvetica Neue"/>
          <w:u w:color="008080"/>
        </w:rPr>
        <w:t xml:space="preserve"> en el mes de </w:t>
      </w:r>
      <w:r w:rsidR="00CA01E2">
        <w:rPr>
          <w:rStyle w:val="Ninguno"/>
          <w:rFonts w:ascii="Helvetica Neue" w:hAnsi="Helvetica Neue"/>
          <w:u w:color="008080"/>
        </w:rPr>
        <w:t>enero</w:t>
      </w:r>
      <w:r>
        <w:rPr>
          <w:rStyle w:val="Ninguno"/>
          <w:rFonts w:ascii="Helvetica Neue" w:hAnsi="Helvetica Neue"/>
          <w:u w:color="008080"/>
        </w:rPr>
        <w:t xml:space="preserve">, </w:t>
      </w:r>
      <w:r w:rsidR="00E160B3">
        <w:rPr>
          <w:rStyle w:val="Ninguno"/>
          <w:rFonts w:ascii="Helvetica Neue" w:hAnsi="Helvetica Neue"/>
          <w:u w:color="008080"/>
        </w:rPr>
        <w:t xml:space="preserve">con un ligero </w:t>
      </w:r>
      <w:r w:rsidR="00E0030D">
        <w:rPr>
          <w:rStyle w:val="Ninguno"/>
          <w:rFonts w:ascii="Helvetica Neue" w:hAnsi="Helvetica Neue"/>
          <w:u w:color="008080"/>
        </w:rPr>
        <w:t>incremento</w:t>
      </w:r>
      <w:r w:rsidR="00CF3C56">
        <w:rPr>
          <w:rStyle w:val="Ninguno"/>
          <w:rFonts w:ascii="Helvetica Neue" w:hAnsi="Helvetica Neue"/>
          <w:u w:color="008080"/>
        </w:rPr>
        <w:t xml:space="preserve"> </w:t>
      </w:r>
      <w:r w:rsidR="00465289">
        <w:rPr>
          <w:rStyle w:val="Ninguno"/>
          <w:rFonts w:ascii="Helvetica Neue" w:hAnsi="Helvetica Neue"/>
          <w:u w:color="008080"/>
        </w:rPr>
        <w:t xml:space="preserve">en </w:t>
      </w:r>
      <w:r w:rsidR="00CF3C56">
        <w:rPr>
          <w:rStyle w:val="Ninguno"/>
          <w:rFonts w:ascii="Helvetica Neue" w:hAnsi="Helvetica Neue"/>
          <w:u w:color="008080"/>
        </w:rPr>
        <w:t xml:space="preserve">gasto y </w:t>
      </w:r>
      <w:r w:rsidR="00E160B3">
        <w:rPr>
          <w:rStyle w:val="Ninguno"/>
          <w:rFonts w:ascii="Helvetica Neue" w:hAnsi="Helvetica Neue"/>
          <w:u w:color="008080"/>
        </w:rPr>
        <w:t xml:space="preserve">gasto </w:t>
      </w:r>
      <w:r w:rsidR="00CF3C56">
        <w:rPr>
          <w:rStyle w:val="Ninguno"/>
          <w:rFonts w:ascii="Helvetica Neue" w:hAnsi="Helvetica Neue"/>
          <w:u w:color="008080"/>
        </w:rPr>
        <w:t>medio por receta</w:t>
      </w:r>
      <w:r w:rsidR="00CA01E2">
        <w:rPr>
          <w:rStyle w:val="Ninguno"/>
          <w:rFonts w:ascii="Helvetica Neue" w:hAnsi="Helvetica Neue"/>
          <w:u w:color="008080"/>
        </w:rPr>
        <w:t xml:space="preserve">. </w:t>
      </w:r>
      <w:r w:rsidR="006F5583">
        <w:rPr>
          <w:rStyle w:val="Ninguno"/>
          <w:rFonts w:ascii="Helvetica Neue" w:hAnsi="Helvetica Neue"/>
          <w:u w:color="008080"/>
        </w:rPr>
        <w:t>El incremento del número de recetas también es limitado</w:t>
      </w:r>
      <w:r>
        <w:rPr>
          <w:rStyle w:val="Ninguno"/>
          <w:rFonts w:ascii="Helvetica Neue" w:hAnsi="Helvetica Neue"/>
          <w:u w:color="008080"/>
        </w:rPr>
        <w:t>.</w:t>
      </w:r>
      <w:r w:rsidR="006F5583">
        <w:rPr>
          <w:rStyle w:val="Ninguno"/>
          <w:rFonts w:ascii="Helvetica Neue" w:hAnsi="Helvetica Neue"/>
          <w:u w:color="008080"/>
        </w:rPr>
        <w:t xml:space="preserve"> En cuanto a la </w:t>
      </w:r>
      <w:r>
        <w:rPr>
          <w:rStyle w:val="Ninguno"/>
          <w:rFonts w:ascii="Helvetica Neue" w:hAnsi="Helvetica Neue"/>
          <w:u w:color="008080"/>
        </w:rPr>
        <w:t xml:space="preserve">aprobación de la Universalización de la Asistencia, </w:t>
      </w:r>
      <w:r w:rsidR="006F5583">
        <w:rPr>
          <w:rStyle w:val="Ninguno"/>
          <w:rFonts w:ascii="Helvetica Neue" w:hAnsi="Helvetica Neue"/>
          <w:u w:color="008080"/>
        </w:rPr>
        <w:t>hay que indicar que la convocatoria de elecciones generales ha hecho decaer su tramitación</w:t>
      </w:r>
    </w:p>
    <w:p w:rsidR="00683A2B" w:rsidRDefault="00683A2B">
      <w:pPr>
        <w:pStyle w:val="CuerpoA"/>
        <w:jc w:val="both"/>
        <w:rPr>
          <w:rStyle w:val="Ninguno"/>
          <w:rFonts w:ascii="Helvetica Neue" w:eastAsia="Helvetica Neue" w:hAnsi="Helvetica Neue" w:cs="Helvetica Neue"/>
          <w:u w:color="008080"/>
        </w:rPr>
      </w:pPr>
    </w:p>
    <w:p w:rsidR="0083008B" w:rsidRPr="00A249E5" w:rsidRDefault="00DF1A26" w:rsidP="0083008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dr w:val="none" w:sz="0" w:space="0" w:color="auto"/>
          <w:lang w:val="es-ES" w:eastAsia="es-ES"/>
        </w:rPr>
      </w:pPr>
      <w:r>
        <w:rPr>
          <w:noProof/>
          <w:sz w:val="30"/>
          <w:szCs w:val="30"/>
          <w:lang w:val="es-ES" w:eastAsia="es-ES"/>
        </w:rPr>
        <w:drawing>
          <wp:anchor distT="0" distB="0" distL="114300" distR="114300" simplePos="0" relativeHeight="251654656" behindDoc="0" locked="0" layoutInCell="1" allowOverlap="1" wp14:anchorId="0FC85CC8" wp14:editId="149C2CAA">
            <wp:simplePos x="0" y="0"/>
            <wp:positionH relativeFrom="column">
              <wp:posOffset>2947035</wp:posOffset>
            </wp:positionH>
            <wp:positionV relativeFrom="paragraph">
              <wp:posOffset>235585</wp:posOffset>
            </wp:positionV>
            <wp:extent cx="2809875" cy="2242185"/>
            <wp:effectExtent l="0" t="0" r="0" b="0"/>
            <wp:wrapSquare wrapText="bothSides"/>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224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583">
        <w:rPr>
          <w:rFonts w:eastAsia="Times New Roman"/>
          <w:noProof/>
          <w:lang w:val="es-ES" w:eastAsia="es-ES"/>
        </w:rPr>
        <w:drawing>
          <wp:anchor distT="0" distB="0" distL="114300" distR="114300" simplePos="0" relativeHeight="251653632" behindDoc="0" locked="0" layoutInCell="1" allowOverlap="1" wp14:anchorId="35304752" wp14:editId="182CF539">
            <wp:simplePos x="0" y="0"/>
            <wp:positionH relativeFrom="column">
              <wp:posOffset>8890</wp:posOffset>
            </wp:positionH>
            <wp:positionV relativeFrom="paragraph">
              <wp:posOffset>176530</wp:posOffset>
            </wp:positionV>
            <wp:extent cx="2818765" cy="23050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8765" cy="23050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dr w:val="none" w:sz="0" w:space="0" w:color="auto"/>
          <w:lang w:val="es-ES" w:eastAsia="es-ES"/>
        </w:rPr>
        <w:tab/>
      </w:r>
      <w:r>
        <w:rPr>
          <w:rFonts w:eastAsia="Times New Roman"/>
          <w:bdr w:val="none" w:sz="0" w:space="0" w:color="auto"/>
          <w:lang w:val="es-ES" w:eastAsia="es-ES"/>
        </w:rPr>
        <w:tab/>
      </w:r>
      <w:r>
        <w:rPr>
          <w:rFonts w:eastAsia="Times New Roman"/>
          <w:bdr w:val="none" w:sz="0" w:space="0" w:color="auto"/>
          <w:lang w:val="es-ES" w:eastAsia="es-ES"/>
        </w:rPr>
        <w:tab/>
      </w:r>
      <w:r>
        <w:rPr>
          <w:rFonts w:eastAsia="Times New Roman"/>
          <w:bdr w:val="none" w:sz="0" w:space="0" w:color="auto"/>
          <w:lang w:val="es-ES" w:eastAsia="es-ES"/>
        </w:rPr>
        <w:tab/>
      </w:r>
      <w:r>
        <w:rPr>
          <w:rFonts w:eastAsia="Times New Roman"/>
          <w:bdr w:val="none" w:sz="0" w:space="0" w:color="auto"/>
          <w:lang w:val="es-ES" w:eastAsia="es-ES"/>
        </w:rPr>
        <w:tab/>
      </w:r>
      <w:r>
        <w:rPr>
          <w:rFonts w:eastAsia="Times New Roman"/>
          <w:bdr w:val="none" w:sz="0" w:space="0" w:color="auto"/>
          <w:lang w:val="es-ES" w:eastAsia="es-ES"/>
        </w:rPr>
        <w:tab/>
        <w:t xml:space="preserve">           </w:t>
      </w:r>
      <w:r w:rsidR="00A249E5" w:rsidRPr="00A249E5">
        <w:rPr>
          <w:rFonts w:eastAsia="Times New Roman"/>
          <w:b/>
          <w:bdr w:val="none" w:sz="0" w:space="0" w:color="auto"/>
          <w:lang w:val="es-ES" w:eastAsia="es-ES"/>
        </w:rPr>
        <w:t>Tendencia logarítmica</w:t>
      </w:r>
      <w:r>
        <w:rPr>
          <w:rFonts w:eastAsia="Times New Roman"/>
          <w:b/>
          <w:bdr w:val="none" w:sz="0" w:space="0" w:color="auto"/>
          <w:lang w:val="es-ES" w:eastAsia="es-ES"/>
        </w:rPr>
        <w:t xml:space="preserve"> hasta marzo</w:t>
      </w:r>
    </w:p>
    <w:p w:rsidR="00A05AB7" w:rsidRDefault="00DF1A26" w:rsidP="0083008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noProof/>
          <w:lang w:val="es-ES" w:eastAsia="es-ES"/>
        </w:rPr>
      </w:pPr>
      <w:r>
        <w:rPr>
          <w:noProof/>
          <w:sz w:val="30"/>
          <w:szCs w:val="30"/>
          <w:lang w:val="es-ES" w:eastAsia="es-ES"/>
        </w:rPr>
        <w:drawing>
          <wp:anchor distT="0" distB="0" distL="114300" distR="114300" simplePos="0" relativeHeight="251655680" behindDoc="0" locked="0" layoutInCell="1" allowOverlap="1" wp14:anchorId="5F6F285D" wp14:editId="466C5B5D">
            <wp:simplePos x="0" y="0"/>
            <wp:positionH relativeFrom="column">
              <wp:posOffset>-2933065</wp:posOffset>
            </wp:positionH>
            <wp:positionV relativeFrom="paragraph">
              <wp:posOffset>2506345</wp:posOffset>
            </wp:positionV>
            <wp:extent cx="2818130" cy="2390775"/>
            <wp:effectExtent l="0" t="0" r="0"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11">
                      <a:extLst>
                        <a:ext uri="{28A0092B-C50C-407E-A947-70E740481C1C}">
                          <a14:useLocalDpi xmlns:a14="http://schemas.microsoft.com/office/drawing/2010/main" val="0"/>
                        </a:ext>
                      </a:extLst>
                    </a:blip>
                    <a:srcRect b="-104"/>
                    <a:stretch>
                      <a:fillRect/>
                    </a:stretch>
                  </pic:blipFill>
                  <pic:spPr bwMode="auto">
                    <a:xfrm>
                      <a:off x="0" y="0"/>
                      <a:ext cx="281813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AB7">
        <w:rPr>
          <w:rFonts w:eastAsia="Times New Roman"/>
          <w:noProof/>
          <w:lang w:val="es-ES" w:eastAsia="es-ES"/>
        </w:rPr>
        <w:t xml:space="preserve">  </w:t>
      </w:r>
      <w:r w:rsidR="00A249E5">
        <w:rPr>
          <w:rFonts w:eastAsia="Times New Roman"/>
          <w:noProof/>
          <w:lang w:val="es-ES" w:eastAsia="es-ES"/>
        </w:rPr>
        <w:t xml:space="preserve"> </w:t>
      </w:r>
      <w:r w:rsidR="006F5583">
        <w:rPr>
          <w:rFonts w:eastAsia="Times New Roman"/>
          <w:noProof/>
          <w:lang w:val="es-ES" w:eastAsia="es-ES"/>
        </w:rPr>
        <w:t xml:space="preserve"> </w:t>
      </w:r>
    </w:p>
    <w:p w:rsidR="00A249E5" w:rsidRDefault="006F5583" w:rsidP="002A5B7E">
      <w:pPr>
        <w:pStyle w:val="CuerpoA"/>
        <w:jc w:val="both"/>
        <w:rPr>
          <w:rStyle w:val="Ninguno"/>
          <w:sz w:val="30"/>
          <w:szCs w:val="30"/>
        </w:rPr>
      </w:pPr>
      <w:r>
        <w:rPr>
          <w:noProof/>
          <w:sz w:val="30"/>
          <w:szCs w:val="30"/>
          <w:lang w:val="es-ES"/>
        </w:rPr>
        <w:lastRenderedPageBreak/>
        <w:drawing>
          <wp:anchor distT="0" distB="0" distL="114300" distR="114300" simplePos="0" relativeHeight="251656704" behindDoc="0" locked="0" layoutInCell="1" allowOverlap="1" wp14:anchorId="7263B850" wp14:editId="76A2D26A">
            <wp:simplePos x="0" y="0"/>
            <wp:positionH relativeFrom="column">
              <wp:posOffset>52705</wp:posOffset>
            </wp:positionH>
            <wp:positionV relativeFrom="paragraph">
              <wp:posOffset>25400</wp:posOffset>
            </wp:positionV>
            <wp:extent cx="2762250" cy="2391410"/>
            <wp:effectExtent l="0" t="0" r="0" b="0"/>
            <wp:wrapSquare wrapText="bothSides"/>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4"/>
                    <pic:cNvPicPr>
                      <a:picLocks noChangeArrowheads="1"/>
                    </pic:cNvPicPr>
                  </pic:nvPicPr>
                  <pic:blipFill>
                    <a:blip r:embed="rId12" cstate="print">
                      <a:extLst>
                        <a:ext uri="{28A0092B-C50C-407E-A947-70E740481C1C}">
                          <a14:useLocalDpi xmlns:a14="http://schemas.microsoft.com/office/drawing/2010/main" val="0"/>
                        </a:ext>
                      </a:extLst>
                    </a:blip>
                    <a:srcRect b="-76"/>
                    <a:stretch>
                      <a:fillRect/>
                    </a:stretch>
                  </pic:blipFill>
                  <pic:spPr bwMode="auto">
                    <a:xfrm>
                      <a:off x="0" y="0"/>
                      <a:ext cx="2762250" cy="2391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51F" w:rsidRDefault="00AE0060">
      <w:pPr>
        <w:pStyle w:val="Ttulo2"/>
        <w:rPr>
          <w:rStyle w:val="Ninguno"/>
          <w:sz w:val="30"/>
          <w:szCs w:val="30"/>
        </w:rPr>
      </w:pPr>
      <w:r>
        <w:rPr>
          <w:rStyle w:val="Ninguno"/>
          <w:sz w:val="30"/>
          <w:szCs w:val="30"/>
        </w:rPr>
        <w:t>Gasto por Comunidades</w:t>
      </w:r>
    </w:p>
    <w:p w:rsidR="00E0551F" w:rsidRDefault="00E0551F">
      <w:pPr>
        <w:pStyle w:val="Cuerpo"/>
      </w:pPr>
    </w:p>
    <w:p w:rsidR="00E0551F" w:rsidRDefault="00AE0060">
      <w:pPr>
        <w:pStyle w:val="CuerpoA"/>
        <w:shd w:val="clear" w:color="auto" w:fill="D6E3BC"/>
        <w:jc w:val="both"/>
        <w:rPr>
          <w:rStyle w:val="Ninguno"/>
          <w:rFonts w:ascii="Helvetica Neue" w:eastAsia="Helvetica Neue" w:hAnsi="Helvetica Neue" w:cs="Helvetica Neue"/>
          <w:u w:color="008080"/>
        </w:rPr>
      </w:pPr>
      <w:r>
        <w:rPr>
          <w:rStyle w:val="Ninguno"/>
          <w:rFonts w:ascii="Helvetica Neue" w:hAnsi="Helvetica Neue"/>
          <w:u w:color="008080"/>
        </w:rPr>
        <w:t xml:space="preserve">En </w:t>
      </w:r>
      <w:r w:rsidRPr="00A027FC">
        <w:rPr>
          <w:rStyle w:val="Ninguno"/>
          <w:rFonts w:ascii="Helvetica Neue" w:hAnsi="Helvetica Neue"/>
          <w:color w:val="auto"/>
          <w:u w:color="008080"/>
        </w:rPr>
        <w:t>este</w:t>
      </w:r>
      <w:r>
        <w:rPr>
          <w:rStyle w:val="Ninguno"/>
          <w:rFonts w:ascii="Helvetica Neue" w:hAnsi="Helvetica Neue"/>
          <w:u w:color="008080"/>
        </w:rPr>
        <w:t xml:space="preserve"> mes se producen aumentos </w:t>
      </w:r>
      <w:r w:rsidR="0083008B">
        <w:rPr>
          <w:rStyle w:val="Ninguno"/>
          <w:rFonts w:ascii="Helvetica Neue" w:hAnsi="Helvetica Neue"/>
          <w:u w:color="008080"/>
        </w:rPr>
        <w:t xml:space="preserve">en </w:t>
      </w:r>
      <w:r w:rsidR="00DF1A26">
        <w:rPr>
          <w:rStyle w:val="Ninguno"/>
          <w:rFonts w:ascii="Helvetica Neue" w:hAnsi="Helvetica Neue"/>
          <w:u w:color="008080"/>
        </w:rPr>
        <w:t>la mayor parte de</w:t>
      </w:r>
      <w:r w:rsidR="0083008B">
        <w:rPr>
          <w:rStyle w:val="Ninguno"/>
          <w:rFonts w:ascii="Helvetica Neue" w:hAnsi="Helvetica Neue"/>
          <w:u w:color="008080"/>
        </w:rPr>
        <w:t xml:space="preserve"> las Comunidades Autónomas</w:t>
      </w:r>
      <w:r w:rsidR="00DF1A26">
        <w:rPr>
          <w:rStyle w:val="Ninguno"/>
          <w:rFonts w:ascii="Helvetica Neue" w:hAnsi="Helvetica Neue"/>
          <w:u w:color="008080"/>
        </w:rPr>
        <w:t>, excepto en</w:t>
      </w:r>
      <w:r w:rsidR="00A249E5">
        <w:rPr>
          <w:rStyle w:val="Ninguno"/>
          <w:rFonts w:ascii="Helvetica Neue" w:hAnsi="Helvetica Neue"/>
          <w:u w:color="008080"/>
        </w:rPr>
        <w:t xml:space="preserve">, País Vasco, </w:t>
      </w:r>
      <w:r w:rsidR="00DF1A26">
        <w:rPr>
          <w:rStyle w:val="Ninguno"/>
          <w:rFonts w:ascii="Helvetica Neue" w:hAnsi="Helvetica Neue"/>
          <w:u w:color="008080"/>
        </w:rPr>
        <w:t>Extremadura y Galicia</w:t>
      </w:r>
      <w:r w:rsidR="00A249E5">
        <w:rPr>
          <w:rStyle w:val="Ninguno"/>
          <w:rFonts w:ascii="Helvetica Neue" w:hAnsi="Helvetica Neue"/>
          <w:u w:color="008080"/>
        </w:rPr>
        <w:t>, que descienden</w:t>
      </w:r>
      <w:r>
        <w:rPr>
          <w:rStyle w:val="Ninguno"/>
          <w:rFonts w:ascii="Helvetica Neue" w:hAnsi="Helvetica Neue"/>
          <w:b/>
          <w:bCs/>
          <w:u w:color="008080"/>
        </w:rPr>
        <w:t xml:space="preserve">. </w:t>
      </w:r>
      <w:r>
        <w:rPr>
          <w:rStyle w:val="Ninguno"/>
          <w:rFonts w:ascii="Helvetica Neue" w:hAnsi="Helvetica Neue"/>
          <w:u w:color="008080"/>
        </w:rPr>
        <w:t xml:space="preserve">Los mayores </w:t>
      </w:r>
      <w:r w:rsidR="0083008B">
        <w:rPr>
          <w:rStyle w:val="Ninguno"/>
          <w:rFonts w:ascii="Helvetica Neue" w:hAnsi="Helvetica Neue"/>
          <w:u w:color="008080"/>
        </w:rPr>
        <w:t>aumentos</w:t>
      </w:r>
      <w:r>
        <w:rPr>
          <w:rStyle w:val="Ninguno"/>
          <w:rFonts w:ascii="Helvetica Neue" w:hAnsi="Helvetica Neue"/>
          <w:u w:color="008080"/>
        </w:rPr>
        <w:t xml:space="preserve"> son los de</w:t>
      </w:r>
      <w:r w:rsidR="0083008B">
        <w:rPr>
          <w:rStyle w:val="Ninguno"/>
          <w:rFonts w:ascii="Helvetica Neue" w:hAnsi="Helvetica Neue"/>
          <w:u w:color="008080"/>
        </w:rPr>
        <w:t xml:space="preserve"> </w:t>
      </w:r>
      <w:r w:rsidR="00465289">
        <w:rPr>
          <w:rStyle w:val="Ninguno"/>
          <w:rFonts w:ascii="Helvetica Neue" w:hAnsi="Helvetica Neue"/>
          <w:u w:color="008080"/>
        </w:rPr>
        <w:t>Canarias</w:t>
      </w:r>
      <w:r w:rsidR="00DF1A26">
        <w:rPr>
          <w:rStyle w:val="Ninguno"/>
          <w:rFonts w:ascii="Helvetica Neue" w:hAnsi="Helvetica Neue"/>
          <w:u w:color="008080"/>
        </w:rPr>
        <w:t>, Madrid, Baleares y Comunidad Valenciana</w:t>
      </w:r>
      <w:r w:rsidR="0083008B">
        <w:rPr>
          <w:rStyle w:val="Ninguno"/>
          <w:rFonts w:ascii="Helvetica Neue" w:hAnsi="Helvetica Neue"/>
          <w:u w:color="008080"/>
        </w:rPr>
        <w:t>.</w:t>
      </w:r>
      <w:r>
        <w:rPr>
          <w:rStyle w:val="Ninguno"/>
          <w:rFonts w:ascii="Helvetica Neue" w:hAnsi="Helvetica Neue"/>
          <w:u w:color="008080"/>
        </w:rPr>
        <w:t xml:space="preserve"> </w:t>
      </w:r>
      <w:r w:rsidR="00C45BD6">
        <w:rPr>
          <w:rStyle w:val="Ninguno"/>
          <w:rFonts w:ascii="Helvetica Neue" w:hAnsi="Helvetica Neue"/>
          <w:u w:color="008080"/>
        </w:rPr>
        <w:t xml:space="preserve">La tendencia </w:t>
      </w:r>
      <w:r w:rsidR="00386218">
        <w:rPr>
          <w:rStyle w:val="Ninguno"/>
          <w:rFonts w:ascii="Helvetica Neue" w:hAnsi="Helvetica Neue"/>
          <w:u w:color="008080"/>
        </w:rPr>
        <w:t>logarítmica</w:t>
      </w:r>
      <w:r w:rsidR="00C45BD6">
        <w:rPr>
          <w:rStyle w:val="Ninguno"/>
          <w:rFonts w:ascii="Helvetica Neue" w:hAnsi="Helvetica Neue"/>
          <w:u w:color="008080"/>
        </w:rPr>
        <w:t xml:space="preserve"> es </w:t>
      </w:r>
      <w:r w:rsidR="00DF1A26">
        <w:rPr>
          <w:rStyle w:val="Ninguno"/>
          <w:rFonts w:ascii="Helvetica Neue" w:hAnsi="Helvetica Neue"/>
          <w:u w:color="008080"/>
        </w:rPr>
        <w:t>positiva</w:t>
      </w:r>
      <w:r w:rsidR="00465289">
        <w:rPr>
          <w:rStyle w:val="Ninguno"/>
          <w:rFonts w:ascii="Helvetica Neue" w:hAnsi="Helvetica Neue"/>
          <w:u w:color="008080"/>
        </w:rPr>
        <w:t xml:space="preserve"> para número de </w:t>
      </w:r>
      <w:r w:rsidR="00C45BD6">
        <w:rPr>
          <w:rStyle w:val="Ninguno"/>
          <w:rFonts w:ascii="Helvetica Neue" w:hAnsi="Helvetica Neue"/>
          <w:u w:color="008080"/>
        </w:rPr>
        <w:t xml:space="preserve">recetas, mientras que </w:t>
      </w:r>
      <w:r w:rsidR="00DF1A26">
        <w:rPr>
          <w:rStyle w:val="Ninguno"/>
          <w:rFonts w:ascii="Helvetica Neue" w:hAnsi="Helvetica Neue"/>
          <w:u w:color="008080"/>
        </w:rPr>
        <w:t xml:space="preserve">los importes y </w:t>
      </w:r>
      <w:r w:rsidR="00C45BD6">
        <w:rPr>
          <w:rStyle w:val="Ninguno"/>
          <w:rFonts w:ascii="Helvetica Neue" w:hAnsi="Helvetica Neue"/>
          <w:u w:color="008080"/>
        </w:rPr>
        <w:t>el gasto medio de las recet</w:t>
      </w:r>
      <w:r w:rsidR="00A249E5">
        <w:rPr>
          <w:rStyle w:val="Ninguno"/>
          <w:rFonts w:ascii="Helvetica Neue" w:hAnsi="Helvetica Neue"/>
          <w:u w:color="008080"/>
        </w:rPr>
        <w:t>as muestra tendencia a mantenerse</w:t>
      </w:r>
      <w:r w:rsidR="00DF1A26">
        <w:rPr>
          <w:rStyle w:val="Ninguno"/>
          <w:rFonts w:ascii="Helvetica Neue" w:hAnsi="Helvetica Neue"/>
          <w:u w:color="008080"/>
        </w:rPr>
        <w:t xml:space="preserve"> o descender</w:t>
      </w:r>
      <w:r w:rsidR="00C45BD6">
        <w:rPr>
          <w:rStyle w:val="Ninguno"/>
          <w:rFonts w:ascii="Helvetica Neue" w:hAnsi="Helvetica Neue"/>
          <w:u w:color="008080"/>
        </w:rPr>
        <w:t>.</w:t>
      </w:r>
    </w:p>
    <w:p w:rsidR="00E0551F" w:rsidRDefault="00AE0060">
      <w:pPr>
        <w:pStyle w:val="Ttulo1"/>
        <w:rPr>
          <w:rStyle w:val="NingunoA"/>
        </w:rPr>
      </w:pPr>
      <w:r>
        <w:rPr>
          <w:rStyle w:val="NingunoA"/>
        </w:rPr>
        <w:t>Mercado total en las oficinas de farmacia</w:t>
      </w:r>
    </w:p>
    <w:p w:rsidR="00E0551F" w:rsidRDefault="00AE0060">
      <w:pPr>
        <w:pStyle w:val="Ttulo2"/>
        <w:rPr>
          <w:rStyle w:val="NingunoA"/>
        </w:rPr>
      </w:pPr>
      <w:r>
        <w:rPr>
          <w:rStyle w:val="NingunoA"/>
        </w:rPr>
        <w:t xml:space="preserve">Análisis de los datos mensuales </w:t>
      </w:r>
    </w:p>
    <w:p w:rsidR="00E0551F" w:rsidRDefault="00E0551F">
      <w:pPr>
        <w:pStyle w:val="CuerpoA"/>
        <w:jc w:val="both"/>
        <w:rPr>
          <w:rStyle w:val="Ninguno"/>
          <w:rFonts w:ascii="Helvetica Neue" w:eastAsia="Helvetica Neue" w:hAnsi="Helvetica Neue" w:cs="Helvetica Neue"/>
        </w:rPr>
      </w:pPr>
    </w:p>
    <w:p w:rsidR="00E0551F" w:rsidRDefault="005F5FB8">
      <w:pPr>
        <w:pStyle w:val="CuerpoA"/>
        <w:jc w:val="both"/>
        <w:rPr>
          <w:rStyle w:val="Ninguno"/>
          <w:rFonts w:ascii="Helvetica Neue" w:hAnsi="Helvetica Neue"/>
        </w:rPr>
      </w:pPr>
      <w:r>
        <w:rPr>
          <w:rFonts w:ascii="Helvetica Neue" w:eastAsia="Helvetica Neue" w:hAnsi="Helvetica Neue" w:cs="Helvetica Neue"/>
          <w:noProof/>
          <w:lang w:val="es-ES"/>
        </w:rPr>
        <w:drawing>
          <wp:anchor distT="0" distB="0" distL="114300" distR="114300" simplePos="0" relativeHeight="251657728" behindDoc="0" locked="0" layoutInCell="1" allowOverlap="1" wp14:anchorId="0846C42D" wp14:editId="1DE0945F">
            <wp:simplePos x="0" y="0"/>
            <wp:positionH relativeFrom="column">
              <wp:posOffset>3217545</wp:posOffset>
            </wp:positionH>
            <wp:positionV relativeFrom="paragraph">
              <wp:posOffset>606425</wp:posOffset>
            </wp:positionV>
            <wp:extent cx="1971675" cy="24479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060">
        <w:rPr>
          <w:rStyle w:val="Ninguno"/>
          <w:rFonts w:ascii="Helvetica Neue" w:hAnsi="Helvetica Neue"/>
        </w:rPr>
        <w:t xml:space="preserve">El mercado total de medicamentos (incluidos OTC) </w:t>
      </w:r>
      <w:r w:rsidR="008A471D">
        <w:rPr>
          <w:rStyle w:val="Ninguno"/>
          <w:rFonts w:ascii="Helvetica Neue" w:hAnsi="Helvetica Neue"/>
        </w:rPr>
        <w:t>desciende</w:t>
      </w:r>
      <w:r w:rsidR="001C2DCC">
        <w:rPr>
          <w:rStyle w:val="Ninguno"/>
          <w:rFonts w:ascii="Helvetica Neue" w:hAnsi="Helvetica Neue"/>
        </w:rPr>
        <w:t xml:space="preserve"> en este mes</w:t>
      </w:r>
      <w:r w:rsidR="00AE0060">
        <w:rPr>
          <w:rStyle w:val="Ninguno"/>
          <w:rFonts w:ascii="Helvetica Neue" w:hAnsi="Helvetica Neue"/>
        </w:rPr>
        <w:t xml:space="preserve"> </w:t>
      </w:r>
      <w:r w:rsidR="008A471D">
        <w:rPr>
          <w:rStyle w:val="Ninguno"/>
          <w:rFonts w:ascii="Helvetica Neue" w:hAnsi="Helvetica Neue"/>
        </w:rPr>
        <w:t>un (-2,3</w:t>
      </w:r>
      <w:r w:rsidR="00386218">
        <w:rPr>
          <w:rStyle w:val="Ninguno"/>
          <w:rFonts w:ascii="Helvetica Neue" w:hAnsi="Helvetica Neue"/>
        </w:rPr>
        <w:t>%</w:t>
      </w:r>
      <w:r w:rsidR="008A471D">
        <w:rPr>
          <w:rStyle w:val="Ninguno"/>
          <w:rFonts w:ascii="Helvetica Neue" w:hAnsi="Helvetica Neue"/>
        </w:rPr>
        <w:t>)</w:t>
      </w:r>
      <w:r w:rsidR="00386218">
        <w:rPr>
          <w:rStyle w:val="Ninguno"/>
          <w:rFonts w:ascii="Helvetica Neue" w:hAnsi="Helvetica Neue"/>
        </w:rPr>
        <w:t xml:space="preserve"> </w:t>
      </w:r>
      <w:r w:rsidR="00AE0060">
        <w:rPr>
          <w:rStyle w:val="Ninguno"/>
          <w:rFonts w:ascii="Helvetica Neue" w:hAnsi="Helvetica Neue"/>
        </w:rPr>
        <w:t>en unidades y</w:t>
      </w:r>
      <w:r w:rsidR="008A471D">
        <w:rPr>
          <w:rStyle w:val="Ninguno"/>
          <w:rFonts w:ascii="Helvetica Neue" w:hAnsi="Helvetica Neue"/>
        </w:rPr>
        <w:t xml:space="preserve"> prácticamente se mantiene </w:t>
      </w:r>
      <w:r w:rsidR="001C2DCC">
        <w:rPr>
          <w:rStyle w:val="Ninguno"/>
          <w:rFonts w:ascii="Helvetica Neue" w:hAnsi="Helvetica Neue"/>
        </w:rPr>
        <w:t>(</w:t>
      </w:r>
      <w:r w:rsidR="00E0030D">
        <w:rPr>
          <w:rStyle w:val="Ninguno"/>
          <w:rFonts w:ascii="Helvetica Neue" w:hAnsi="Helvetica Neue"/>
        </w:rPr>
        <w:t>+</w:t>
      </w:r>
      <w:r w:rsidR="008A471D">
        <w:rPr>
          <w:rStyle w:val="Ninguno"/>
          <w:rFonts w:ascii="Helvetica Neue" w:hAnsi="Helvetica Neue"/>
        </w:rPr>
        <w:t>0,1</w:t>
      </w:r>
      <w:r w:rsidR="00386218">
        <w:rPr>
          <w:rStyle w:val="Ninguno"/>
          <w:rFonts w:ascii="Helvetica Neue" w:hAnsi="Helvetica Neue"/>
        </w:rPr>
        <w:t>%</w:t>
      </w:r>
      <w:r w:rsidR="001C2DCC">
        <w:rPr>
          <w:rStyle w:val="Ninguno"/>
          <w:rFonts w:ascii="Helvetica Neue" w:hAnsi="Helvetica Neue"/>
        </w:rPr>
        <w:t>)</w:t>
      </w:r>
      <w:r w:rsidR="00AE0060">
        <w:rPr>
          <w:rStyle w:val="Ninguno"/>
          <w:rFonts w:ascii="Helvetica Neue" w:hAnsi="Helvetica Neue"/>
        </w:rPr>
        <w:t xml:space="preserve"> en valores, </w:t>
      </w:r>
      <w:r w:rsidR="00AE0060">
        <w:rPr>
          <w:rStyle w:val="Ninguno"/>
          <w:rFonts w:ascii="Helvetica Neue" w:hAnsi="Helvetica Neue"/>
          <w:b/>
          <w:bCs/>
        </w:rPr>
        <w:t xml:space="preserve">unas cifras </w:t>
      </w:r>
      <w:r w:rsidR="00992192">
        <w:rPr>
          <w:rStyle w:val="Ninguno"/>
          <w:rFonts w:ascii="Helvetica Neue" w:hAnsi="Helvetica Neue"/>
          <w:b/>
          <w:bCs/>
        </w:rPr>
        <w:t>inferiores</w:t>
      </w:r>
      <w:r w:rsidR="00AE0060">
        <w:rPr>
          <w:rStyle w:val="Ninguno"/>
          <w:rFonts w:ascii="Helvetica Neue" w:hAnsi="Helvetica Neue"/>
          <w:b/>
          <w:bCs/>
        </w:rPr>
        <w:t xml:space="preserve"> a las del mercado financiado.</w:t>
      </w:r>
      <w:r w:rsidR="00AE0060">
        <w:rPr>
          <w:rStyle w:val="Ninguno"/>
          <w:rFonts w:ascii="Helvetica Neue" w:hAnsi="Helvetica Neue"/>
        </w:rPr>
        <w:t xml:space="preserve"> Los datos siguientes son los que proporciona la consultora IQVIA.</w:t>
      </w:r>
    </w:p>
    <w:p w:rsidR="00853D78" w:rsidRDefault="005F5FB8">
      <w:pPr>
        <w:pStyle w:val="CuerpoA"/>
        <w:jc w:val="both"/>
        <w:rPr>
          <w:rStyle w:val="Ninguno"/>
          <w:rFonts w:ascii="Helvetica Neue" w:eastAsia="Helvetica Neue" w:hAnsi="Helvetica Neue" w:cs="Helvetica Neue"/>
        </w:rPr>
      </w:pPr>
      <w:r>
        <w:rPr>
          <w:rFonts w:ascii="Helvetica Neue" w:eastAsia="Helvetica Neue" w:hAnsi="Helvetica Neue" w:cs="Helvetica Neue"/>
          <w:noProof/>
          <w:lang w:val="es-ES"/>
        </w:rPr>
        <w:drawing>
          <wp:anchor distT="0" distB="0" distL="114300" distR="114300" simplePos="0" relativeHeight="251658752" behindDoc="0" locked="0" layoutInCell="1" allowOverlap="1" wp14:anchorId="665918E5" wp14:editId="031CF099">
            <wp:simplePos x="0" y="0"/>
            <wp:positionH relativeFrom="column">
              <wp:posOffset>269240</wp:posOffset>
            </wp:positionH>
            <wp:positionV relativeFrom="paragraph">
              <wp:posOffset>102870</wp:posOffset>
            </wp:positionV>
            <wp:extent cx="2009775" cy="23336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51F" w:rsidRDefault="00C45BD6">
      <w:pPr>
        <w:pStyle w:val="CuerpoA"/>
        <w:jc w:val="both"/>
        <w:rPr>
          <w:rStyle w:val="Ninguno"/>
          <w:rFonts w:ascii="Helvetica Neue" w:eastAsia="Helvetica Neue" w:hAnsi="Helvetica Neue" w:cs="Helvetica Neue"/>
        </w:rPr>
      </w:pPr>
      <w:r>
        <w:rPr>
          <w:rStyle w:val="Ninguno"/>
          <w:rFonts w:ascii="Helvetica Neue" w:eastAsia="Helvetica Neue" w:hAnsi="Helvetica Neue" w:cs="Helvetica Neue"/>
        </w:rPr>
        <w:t xml:space="preserve">  </w:t>
      </w:r>
    </w:p>
    <w:p w:rsidR="00E0551F" w:rsidRDefault="00E0551F">
      <w:pPr>
        <w:pStyle w:val="CuerpoA"/>
        <w:jc w:val="both"/>
        <w:rPr>
          <w:rStyle w:val="Ninguno"/>
          <w:rFonts w:ascii="Helvetica Neue" w:eastAsia="Helvetica Neue" w:hAnsi="Helvetica Neue" w:cs="Helvetica Neue"/>
        </w:rPr>
      </w:pPr>
    </w:p>
    <w:p w:rsidR="00E0551F" w:rsidRDefault="00E0551F">
      <w:pPr>
        <w:pStyle w:val="CuerpoA"/>
        <w:jc w:val="both"/>
        <w:rPr>
          <w:rStyle w:val="Ninguno"/>
          <w:rFonts w:ascii="Helvetica Neue" w:eastAsia="Helvetica Neue" w:hAnsi="Helvetica Neue" w:cs="Helvetica Neue"/>
        </w:rPr>
      </w:pPr>
    </w:p>
    <w:p w:rsidR="00E0551F" w:rsidRDefault="00E0551F">
      <w:pPr>
        <w:pStyle w:val="CuerpoA"/>
        <w:jc w:val="both"/>
        <w:rPr>
          <w:rStyle w:val="Ninguno"/>
          <w:rFonts w:ascii="Helvetica Neue" w:eastAsia="Helvetica Neue" w:hAnsi="Helvetica Neue" w:cs="Helvetica Neue"/>
        </w:rPr>
      </w:pPr>
    </w:p>
    <w:p w:rsidR="00E0551F" w:rsidRDefault="00E0551F">
      <w:pPr>
        <w:pStyle w:val="CuerpoA"/>
        <w:jc w:val="both"/>
        <w:rPr>
          <w:rStyle w:val="Ninguno"/>
          <w:rFonts w:ascii="Helvetica Neue" w:eastAsia="Helvetica Neue" w:hAnsi="Helvetica Neue" w:cs="Helvetica Neue"/>
        </w:rPr>
      </w:pPr>
    </w:p>
    <w:p w:rsidR="00E0551F" w:rsidRDefault="00E0551F">
      <w:pPr>
        <w:pStyle w:val="CuerpoA"/>
        <w:jc w:val="both"/>
        <w:rPr>
          <w:rStyle w:val="Ninguno"/>
          <w:rFonts w:ascii="Helvetica Neue" w:eastAsia="Helvetica Neue" w:hAnsi="Helvetica Neue" w:cs="Helvetica Neue"/>
        </w:rPr>
      </w:pPr>
    </w:p>
    <w:p w:rsidR="00E0551F" w:rsidRDefault="00E0551F">
      <w:pPr>
        <w:pStyle w:val="CuerpoA"/>
        <w:jc w:val="both"/>
        <w:rPr>
          <w:rStyle w:val="Ninguno"/>
          <w:rFonts w:ascii="Helvetica Neue" w:eastAsia="Helvetica Neue" w:hAnsi="Helvetica Neue" w:cs="Helvetica Neue"/>
        </w:rPr>
      </w:pPr>
    </w:p>
    <w:p w:rsidR="00E0551F" w:rsidRDefault="00E0551F">
      <w:pPr>
        <w:pStyle w:val="CuerpoA"/>
        <w:jc w:val="both"/>
        <w:rPr>
          <w:rStyle w:val="Ninguno"/>
          <w:rFonts w:ascii="Helvetica Neue" w:eastAsia="Helvetica Neue" w:hAnsi="Helvetica Neue" w:cs="Helvetica Neue"/>
        </w:rPr>
      </w:pPr>
    </w:p>
    <w:p w:rsidR="00E0551F" w:rsidRDefault="00E0551F">
      <w:pPr>
        <w:pStyle w:val="CuerpoA"/>
        <w:jc w:val="both"/>
        <w:rPr>
          <w:rStyle w:val="Ninguno"/>
          <w:rFonts w:ascii="Helvetica Neue" w:eastAsia="Helvetica Neue" w:hAnsi="Helvetica Neue" w:cs="Helvetica Neue"/>
        </w:rPr>
      </w:pPr>
    </w:p>
    <w:p w:rsidR="00E0551F" w:rsidRDefault="00E0551F">
      <w:pPr>
        <w:pStyle w:val="CuerpoA"/>
        <w:jc w:val="both"/>
        <w:rPr>
          <w:rStyle w:val="Ninguno"/>
          <w:rFonts w:ascii="Helvetica Neue" w:eastAsia="Helvetica Neue" w:hAnsi="Helvetica Neue" w:cs="Helvetica Neue"/>
        </w:rPr>
      </w:pPr>
    </w:p>
    <w:p w:rsidR="00E0551F" w:rsidRDefault="00E0551F">
      <w:pPr>
        <w:pStyle w:val="CuerpoA"/>
        <w:jc w:val="both"/>
        <w:rPr>
          <w:rStyle w:val="Ninguno"/>
          <w:rFonts w:ascii="Helvetica Neue" w:eastAsia="Helvetica Neue" w:hAnsi="Helvetica Neue" w:cs="Helvetica Neue"/>
        </w:rPr>
      </w:pPr>
    </w:p>
    <w:p w:rsidR="00E0551F" w:rsidRDefault="00E0551F">
      <w:pPr>
        <w:pStyle w:val="CuerpoA"/>
        <w:jc w:val="both"/>
        <w:rPr>
          <w:rStyle w:val="Ninguno"/>
          <w:sz w:val="30"/>
          <w:szCs w:val="30"/>
        </w:rPr>
      </w:pPr>
    </w:p>
    <w:p w:rsidR="00E0551F" w:rsidRDefault="005F5FB8">
      <w:pPr>
        <w:pStyle w:val="CuerpoA"/>
        <w:jc w:val="both"/>
        <w:rPr>
          <w:rStyle w:val="Ninguno"/>
          <w:sz w:val="30"/>
          <w:szCs w:val="30"/>
        </w:rPr>
      </w:pPr>
      <w:r>
        <w:rPr>
          <w:noProof/>
          <w:sz w:val="30"/>
          <w:szCs w:val="30"/>
          <w:lang w:val="es-ES"/>
        </w:rPr>
        <w:drawing>
          <wp:anchor distT="0" distB="0" distL="114300" distR="114300" simplePos="0" relativeHeight="251659776" behindDoc="0" locked="0" layoutInCell="1" allowOverlap="1">
            <wp:simplePos x="0" y="0"/>
            <wp:positionH relativeFrom="column">
              <wp:posOffset>291465</wp:posOffset>
            </wp:positionH>
            <wp:positionV relativeFrom="paragraph">
              <wp:posOffset>217170</wp:posOffset>
            </wp:positionV>
            <wp:extent cx="3304540" cy="30226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4540" cy="30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48B">
        <w:rPr>
          <w:rStyle w:val="Ninguno"/>
          <w:rFonts w:ascii="Helvetica Neue" w:eastAsia="Helvetica Neue" w:hAnsi="Helvetica Neue" w:cs="Helvetica Neue"/>
          <w:noProof/>
          <w:lang w:val="es-ES"/>
        </w:rPr>
        <w:drawing>
          <wp:anchor distT="57150" distB="57150" distL="57150" distR="57150" simplePos="0" relativeHeight="251652608" behindDoc="0" locked="0" layoutInCell="1" allowOverlap="1" wp14:anchorId="5EDF912C" wp14:editId="41D13F58">
            <wp:simplePos x="0" y="0"/>
            <wp:positionH relativeFrom="column">
              <wp:posOffset>-2581275</wp:posOffset>
            </wp:positionH>
            <wp:positionV relativeFrom="line">
              <wp:posOffset>184150</wp:posOffset>
            </wp:positionV>
            <wp:extent cx="2819400" cy="292100"/>
            <wp:effectExtent l="0" t="0" r="0" b="0"/>
            <wp:wrapSquare wrapText="bothSides" distT="57150" distB="57150" distL="57150" distR="57150"/>
            <wp:docPr id="1073741835" name="officeArt object" descr="Picture 4"/>
            <wp:cNvGraphicFramePr/>
            <a:graphic xmlns:a="http://schemas.openxmlformats.org/drawingml/2006/main">
              <a:graphicData uri="http://schemas.openxmlformats.org/drawingml/2006/picture">
                <pic:pic xmlns:pic="http://schemas.openxmlformats.org/drawingml/2006/picture">
                  <pic:nvPicPr>
                    <pic:cNvPr id="1073741835" name="Picture 4" descr="Picture 4"/>
                    <pic:cNvPicPr>
                      <a:picLocks noChangeAspect="1"/>
                    </pic:cNvPicPr>
                  </pic:nvPicPr>
                  <pic:blipFill>
                    <a:blip r:embed="rId16" cstate="print">
                      <a:extLst/>
                    </a:blip>
                    <a:stretch>
                      <a:fillRect/>
                    </a:stretch>
                  </pic:blipFill>
                  <pic:spPr>
                    <a:xfrm>
                      <a:off x="0" y="0"/>
                      <a:ext cx="2819400" cy="292100"/>
                    </a:xfrm>
                    <a:prstGeom prst="rect">
                      <a:avLst/>
                    </a:prstGeom>
                    <a:ln w="12700" cap="flat">
                      <a:noFill/>
                      <a:miter lim="400000"/>
                    </a:ln>
                    <a:effectLst/>
                  </pic:spPr>
                </pic:pic>
              </a:graphicData>
            </a:graphic>
          </wp:anchor>
        </w:drawing>
      </w:r>
    </w:p>
    <w:p w:rsidR="00E0551F" w:rsidRDefault="00AE0060">
      <w:pPr>
        <w:pStyle w:val="CuerpoA"/>
        <w:jc w:val="both"/>
        <w:rPr>
          <w:rStyle w:val="Ninguno"/>
          <w:rFonts w:ascii="Helvetica Neue" w:eastAsia="Helvetica Neue" w:hAnsi="Helvetica Neue" w:cs="Helvetica Neue"/>
          <w:b/>
          <w:bCs/>
          <w:color w:val="00B050"/>
          <w:sz w:val="30"/>
          <w:szCs w:val="30"/>
          <w:u w:color="00B050"/>
        </w:rPr>
      </w:pPr>
      <w:r>
        <w:rPr>
          <w:rStyle w:val="Ninguno"/>
          <w:rFonts w:ascii="Helvetica Neue" w:hAnsi="Helvetica Neue"/>
          <w:b/>
          <w:bCs/>
          <w:color w:val="00B050"/>
          <w:sz w:val="26"/>
          <w:szCs w:val="26"/>
          <w:u w:color="00B050"/>
        </w:rPr>
        <w:t>Comparativa con años anteriores</w:t>
      </w:r>
      <w:r>
        <w:rPr>
          <w:rStyle w:val="Ninguno"/>
          <w:rFonts w:ascii="Helvetica Neue" w:hAnsi="Helvetica Neue"/>
          <w:b/>
          <w:bCs/>
          <w:color w:val="00B050"/>
          <w:sz w:val="30"/>
          <w:szCs w:val="30"/>
          <w:u w:color="00B050"/>
        </w:rPr>
        <w:t xml:space="preserve"> </w:t>
      </w:r>
    </w:p>
    <w:p w:rsidR="0086748B" w:rsidRDefault="0086748B">
      <w:pPr>
        <w:pStyle w:val="Cuerpo"/>
        <w:jc w:val="both"/>
        <w:rPr>
          <w:rStyle w:val="Ninguno"/>
          <w:rFonts w:ascii="Helvetica Neue" w:hAnsi="Helvetica Neue"/>
        </w:rPr>
      </w:pPr>
    </w:p>
    <w:p w:rsidR="0086748B" w:rsidRDefault="005F5FB8">
      <w:pPr>
        <w:pStyle w:val="Cuerpo"/>
        <w:jc w:val="both"/>
        <w:rPr>
          <w:rStyle w:val="Ninguno"/>
          <w:rFonts w:ascii="Helvetica Neue" w:hAnsi="Helvetica Neue"/>
        </w:rPr>
      </w:pPr>
      <w:r>
        <w:rPr>
          <w:rFonts w:ascii="Helvetica Neue" w:hAnsi="Helvetica Neue"/>
          <w:noProof/>
          <w:lang w:val="es-ES"/>
        </w:rPr>
        <w:lastRenderedPageBreak/>
        <w:drawing>
          <wp:anchor distT="0" distB="0" distL="114300" distR="114300" simplePos="0" relativeHeight="251660800" behindDoc="0" locked="0" layoutInCell="1" allowOverlap="1" wp14:anchorId="6C8C9922" wp14:editId="68DB96D9">
            <wp:simplePos x="0" y="0"/>
            <wp:positionH relativeFrom="column">
              <wp:posOffset>2944495</wp:posOffset>
            </wp:positionH>
            <wp:positionV relativeFrom="paragraph">
              <wp:posOffset>36830</wp:posOffset>
            </wp:positionV>
            <wp:extent cx="2642235" cy="187579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2235" cy="1875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noProof/>
          <w:lang w:val="es-ES"/>
        </w:rPr>
        <w:drawing>
          <wp:inline distT="0" distB="0" distL="0" distR="0" wp14:anchorId="228BC750" wp14:editId="676A1AA2">
            <wp:extent cx="2730842" cy="1980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1061" cy="1980159"/>
                    </a:xfrm>
                    <a:prstGeom prst="rect">
                      <a:avLst/>
                    </a:prstGeom>
                    <a:noFill/>
                    <a:ln>
                      <a:noFill/>
                    </a:ln>
                  </pic:spPr>
                </pic:pic>
              </a:graphicData>
            </a:graphic>
          </wp:inline>
        </w:drawing>
      </w:r>
    </w:p>
    <w:p w:rsidR="0086748B" w:rsidRDefault="0086748B">
      <w:pPr>
        <w:pStyle w:val="Cuerpo"/>
        <w:jc w:val="both"/>
        <w:rPr>
          <w:rStyle w:val="Ninguno"/>
          <w:rFonts w:ascii="Helvetica Neue" w:hAnsi="Helvetica Neue"/>
        </w:rPr>
      </w:pPr>
    </w:p>
    <w:p w:rsidR="00E0551F" w:rsidRDefault="00AE0060">
      <w:pPr>
        <w:pStyle w:val="Cuerpo"/>
        <w:jc w:val="both"/>
        <w:rPr>
          <w:rStyle w:val="Ninguno"/>
          <w:rFonts w:ascii="Helvetica Neue" w:eastAsia="Helvetica Neue" w:hAnsi="Helvetica Neue" w:cs="Helvetica Neue"/>
        </w:rPr>
      </w:pPr>
      <w:r>
        <w:rPr>
          <w:rStyle w:val="Ninguno"/>
          <w:rFonts w:ascii="Helvetica Neue" w:hAnsi="Helvetica Neue"/>
        </w:rPr>
        <w:t xml:space="preserve">En la comparación con años anteriores se observa que el mercado aumenta en unidades un </w:t>
      </w:r>
      <w:r w:rsidR="005F5FB8">
        <w:rPr>
          <w:rStyle w:val="Ninguno"/>
          <w:rFonts w:ascii="Helvetica Neue" w:hAnsi="Helvetica Neue"/>
        </w:rPr>
        <w:t>0,9</w:t>
      </w:r>
      <w:r>
        <w:rPr>
          <w:rStyle w:val="Ninguno"/>
          <w:rFonts w:ascii="Helvetica Neue" w:hAnsi="Helvetica Neue"/>
        </w:rPr>
        <w:t xml:space="preserve">%, lo que representa </w:t>
      </w:r>
      <w:r w:rsidR="008A471D" w:rsidRPr="0014043A">
        <w:rPr>
          <w:rStyle w:val="Ninguno"/>
          <w:rFonts w:ascii="Helvetica Neue" w:hAnsi="Helvetica Neue"/>
          <w:b/>
        </w:rPr>
        <w:t>1</w:t>
      </w:r>
      <w:r w:rsidR="005F5FB8" w:rsidRPr="0014043A">
        <w:rPr>
          <w:rStyle w:val="Ninguno"/>
          <w:rFonts w:ascii="Helvetica Neue" w:hAnsi="Helvetica Neue"/>
          <w:b/>
        </w:rPr>
        <w:t>1,8</w:t>
      </w:r>
      <w:r>
        <w:rPr>
          <w:rStyle w:val="Ninguno"/>
          <w:rFonts w:ascii="Helvetica Neue" w:hAnsi="Helvetica Neue"/>
        </w:rPr>
        <w:t xml:space="preserve"> millones de unidades. También  se produce una aumento en valores en el acumulado hasta el mes de </w:t>
      </w:r>
      <w:r w:rsidR="00CA01E2">
        <w:rPr>
          <w:rStyle w:val="Ninguno"/>
          <w:rFonts w:ascii="Helvetica Neue" w:hAnsi="Helvetica Neue"/>
        </w:rPr>
        <w:t>enero</w:t>
      </w:r>
      <w:r w:rsidR="00225624">
        <w:rPr>
          <w:rStyle w:val="Ninguno"/>
          <w:rFonts w:ascii="Helvetica Neue" w:hAnsi="Helvetica Neue"/>
        </w:rPr>
        <w:t xml:space="preserve"> (MAT/1</w:t>
      </w:r>
      <w:r w:rsidR="008A471D">
        <w:rPr>
          <w:rStyle w:val="Ninguno"/>
          <w:rFonts w:ascii="Helvetica Neue" w:hAnsi="Helvetica Neue"/>
        </w:rPr>
        <w:t>2</w:t>
      </w:r>
      <w:r>
        <w:rPr>
          <w:rStyle w:val="Ninguno"/>
          <w:rFonts w:ascii="Helvetica Neue" w:hAnsi="Helvetica Neue"/>
        </w:rPr>
        <w:t xml:space="preserve">/2018) de </w:t>
      </w:r>
      <w:r w:rsidR="00F329DE">
        <w:rPr>
          <w:rStyle w:val="Ninguno"/>
          <w:rFonts w:ascii="Helvetica Neue" w:hAnsi="Helvetica Neue"/>
        </w:rPr>
        <w:t>259,9</w:t>
      </w:r>
      <w:r>
        <w:rPr>
          <w:rStyle w:val="Ninguno"/>
          <w:rFonts w:ascii="Helvetica Neue" w:hAnsi="Helvetica Neue"/>
        </w:rPr>
        <w:t xml:space="preserve"> millones de euros a PVP.</w:t>
      </w:r>
    </w:p>
    <w:p w:rsidR="00E0551F" w:rsidRDefault="00E0551F">
      <w:pPr>
        <w:pStyle w:val="Cuerpo"/>
        <w:jc w:val="both"/>
        <w:rPr>
          <w:rStyle w:val="Ninguno"/>
          <w:rFonts w:ascii="Helvetica Neue" w:eastAsia="Helvetica Neue" w:hAnsi="Helvetica Neue" w:cs="Helvetica Neue"/>
        </w:rPr>
      </w:pPr>
    </w:p>
    <w:p w:rsidR="00E0551F" w:rsidRDefault="00AE0060">
      <w:pPr>
        <w:pStyle w:val="Cuerpo"/>
        <w:shd w:val="clear" w:color="auto" w:fill="D6E3BC"/>
        <w:jc w:val="both"/>
        <w:rPr>
          <w:rStyle w:val="Ninguno"/>
          <w:rFonts w:ascii="Helvetica Neue" w:eastAsia="Helvetica Neue" w:hAnsi="Helvetica Neue" w:cs="Helvetica Neue"/>
        </w:rPr>
      </w:pPr>
      <w:r>
        <w:rPr>
          <w:rStyle w:val="Ninguno"/>
          <w:rFonts w:ascii="Helvetica Neue" w:hAnsi="Helvetica Neue"/>
        </w:rPr>
        <w:t>En este mes los datos de mercado financiado y mercad</w:t>
      </w:r>
      <w:r w:rsidR="00386218">
        <w:rPr>
          <w:rStyle w:val="Ninguno"/>
          <w:rFonts w:ascii="Helvetica Neue" w:hAnsi="Helvetica Neue"/>
        </w:rPr>
        <w:t>o</w:t>
      </w:r>
      <w:r>
        <w:rPr>
          <w:rStyle w:val="Ninguno"/>
          <w:rFonts w:ascii="Helvetica Neue" w:hAnsi="Helvetica Neue"/>
        </w:rPr>
        <w:t xml:space="preserve"> total son concordantes en el </w:t>
      </w:r>
      <w:r w:rsidR="00992192">
        <w:rPr>
          <w:rStyle w:val="Ninguno"/>
          <w:rFonts w:ascii="Helvetica Neue" w:hAnsi="Helvetica Neue"/>
        </w:rPr>
        <w:t xml:space="preserve">pequeño aumento </w:t>
      </w:r>
      <w:r>
        <w:rPr>
          <w:rStyle w:val="Ninguno"/>
          <w:rFonts w:ascii="Helvetica Neue" w:hAnsi="Helvetica Neue"/>
        </w:rPr>
        <w:t xml:space="preserve">que se produce, aunque son superiores los </w:t>
      </w:r>
      <w:r w:rsidR="00386218">
        <w:rPr>
          <w:rStyle w:val="Ninguno"/>
          <w:rFonts w:ascii="Helvetica Neue" w:hAnsi="Helvetica Neue"/>
        </w:rPr>
        <w:t xml:space="preserve">aumentos </w:t>
      </w:r>
      <w:r>
        <w:rPr>
          <w:rStyle w:val="Ninguno"/>
          <w:rFonts w:ascii="Helvetica Neue" w:hAnsi="Helvetica Neue"/>
        </w:rPr>
        <w:t xml:space="preserve">del mercado </w:t>
      </w:r>
      <w:r w:rsidR="00992192">
        <w:rPr>
          <w:rStyle w:val="Ninguno"/>
          <w:rFonts w:ascii="Helvetica Neue" w:hAnsi="Helvetica Neue"/>
        </w:rPr>
        <w:t>financiado</w:t>
      </w:r>
      <w:r>
        <w:rPr>
          <w:rStyle w:val="Ninguno"/>
          <w:rFonts w:ascii="Helvetica Neue" w:hAnsi="Helvetica Neue"/>
        </w:rPr>
        <w:t xml:space="preserve">. </w:t>
      </w:r>
      <w:r>
        <w:rPr>
          <w:rStyle w:val="Ninguno"/>
          <w:rFonts w:ascii="Helvetica Neue" w:hAnsi="Helvetica Neue"/>
          <w:b/>
          <w:bCs/>
        </w:rPr>
        <w:t xml:space="preserve">En este mes ha </w:t>
      </w:r>
      <w:r w:rsidR="00386218">
        <w:rPr>
          <w:rStyle w:val="Ninguno"/>
          <w:rFonts w:ascii="Helvetica Neue" w:hAnsi="Helvetica Neue"/>
          <w:b/>
          <w:bCs/>
        </w:rPr>
        <w:t>aumentado</w:t>
      </w:r>
      <w:r>
        <w:rPr>
          <w:rStyle w:val="Ninguno"/>
          <w:rFonts w:ascii="Helvetica Neue" w:hAnsi="Helvetica Neue"/>
          <w:b/>
          <w:bCs/>
        </w:rPr>
        <w:t xml:space="preserve"> más el mercado financiado</w:t>
      </w:r>
      <w:r w:rsidR="00992192">
        <w:rPr>
          <w:rStyle w:val="Ninguno"/>
          <w:rFonts w:ascii="Helvetica Neue" w:hAnsi="Helvetica Neue"/>
          <w:b/>
          <w:bCs/>
        </w:rPr>
        <w:t xml:space="preserve"> que el total</w:t>
      </w:r>
      <w:r w:rsidR="0051773F">
        <w:rPr>
          <w:rStyle w:val="Ninguno"/>
          <w:rFonts w:ascii="Helvetica Neue" w:hAnsi="Helvetica Neue"/>
          <w:b/>
          <w:bCs/>
        </w:rPr>
        <w:t>, aunque el mercado de Consumer Health presenta mayores crecimientos</w:t>
      </w:r>
      <w:r>
        <w:rPr>
          <w:rStyle w:val="Ninguno"/>
          <w:rFonts w:ascii="Helvetica Neue" w:hAnsi="Helvetica Neue"/>
          <w:b/>
          <w:bCs/>
        </w:rPr>
        <w:t>.</w:t>
      </w:r>
    </w:p>
    <w:p w:rsidR="00782B49" w:rsidRDefault="00782B49" w:rsidP="00553B82">
      <w:pPr>
        <w:pStyle w:val="Cuerpo"/>
        <w:jc w:val="both"/>
        <w:rPr>
          <w:rFonts w:asciiTheme="minorHAnsi" w:hAnsiTheme="minorHAnsi"/>
          <w:b/>
          <w:color w:val="00B050"/>
          <w:sz w:val="28"/>
        </w:rPr>
      </w:pPr>
      <w:r w:rsidRPr="00782B49">
        <w:rPr>
          <w:rFonts w:asciiTheme="minorHAnsi" w:hAnsiTheme="minorHAnsi"/>
          <w:b/>
          <w:color w:val="00B050"/>
          <w:sz w:val="28"/>
        </w:rPr>
        <w:t>El número de farmacéuticos que trabajan en las farmacias depende en primer lugar de la población atendida, y en segundo lugar, de cómo la Ordenación Farmacéutica aborda la presencia del farmacéutico.</w:t>
      </w:r>
    </w:p>
    <w:p w:rsidR="0051773F" w:rsidRDefault="0051773F" w:rsidP="00553B82">
      <w:pPr>
        <w:pStyle w:val="Cuerpo"/>
        <w:jc w:val="both"/>
        <w:rPr>
          <w:rFonts w:asciiTheme="minorHAnsi" w:hAnsiTheme="minorHAnsi"/>
          <w:b/>
          <w:color w:val="00B050"/>
          <w:sz w:val="28"/>
        </w:rPr>
      </w:pPr>
    </w:p>
    <w:p w:rsidR="00553B82" w:rsidRDefault="00553B82" w:rsidP="00553B82">
      <w:pPr>
        <w:pStyle w:val="Cuerpo"/>
        <w:jc w:val="both"/>
        <w:rPr>
          <w:rFonts w:asciiTheme="minorHAnsi" w:hAnsiTheme="minorHAnsi"/>
          <w:color w:val="000000" w:themeColor="text1"/>
        </w:rPr>
      </w:pPr>
      <w:r>
        <w:rPr>
          <w:rFonts w:asciiTheme="minorHAnsi" w:hAnsiTheme="minorHAnsi"/>
          <w:color w:val="000000" w:themeColor="text1"/>
        </w:rPr>
        <w:t>Todas las leyes de Ordenación Farmacéutica de las Comunidades Autónomas permiten la existencia de titulares cotitulares en las farmacias, aunque en algunas con límites mínimos en la participación</w:t>
      </w:r>
      <w:r w:rsidR="0044341D">
        <w:rPr>
          <w:rFonts w:asciiTheme="minorHAnsi" w:hAnsiTheme="minorHAnsi"/>
          <w:color w:val="000000" w:themeColor="text1"/>
        </w:rPr>
        <w:t>. El número de titulares y cotitulares aparece en la siguiente tabla obtenida de las estadísticas del Consejo General correspondientes al año 2017.</w:t>
      </w:r>
    </w:p>
    <w:p w:rsidR="0044341D" w:rsidRDefault="0044341D" w:rsidP="00553B82">
      <w:pPr>
        <w:pStyle w:val="Cuerpo"/>
        <w:jc w:val="both"/>
        <w:rPr>
          <w:rFonts w:asciiTheme="minorHAnsi" w:hAnsiTheme="minorHAnsi"/>
          <w:color w:val="000000" w:themeColor="text1"/>
        </w:rPr>
      </w:pPr>
    </w:p>
    <w:p w:rsidR="00553B82" w:rsidRDefault="00553B82" w:rsidP="00553B82">
      <w:pPr>
        <w:pStyle w:val="Cuerpo"/>
        <w:jc w:val="both"/>
        <w:rPr>
          <w:rFonts w:asciiTheme="minorHAnsi" w:hAnsiTheme="minorHAnsi"/>
          <w:color w:val="000000" w:themeColor="text1"/>
        </w:rPr>
      </w:pPr>
    </w:p>
    <w:tbl>
      <w:tblPr>
        <w:tblStyle w:val="Sombreadoclaro-nfasis3"/>
        <w:tblW w:w="5000" w:type="pct"/>
        <w:tblLook w:val="04A0" w:firstRow="1" w:lastRow="0" w:firstColumn="1" w:lastColumn="0" w:noHBand="0" w:noVBand="1"/>
      </w:tblPr>
      <w:tblGrid>
        <w:gridCol w:w="2443"/>
        <w:gridCol w:w="1126"/>
        <w:gridCol w:w="1004"/>
        <w:gridCol w:w="1518"/>
        <w:gridCol w:w="1464"/>
        <w:gridCol w:w="1283"/>
      </w:tblGrid>
      <w:tr w:rsidR="00553B82" w:rsidRPr="00553B82" w:rsidTr="006C6300">
        <w:trPr>
          <w:cnfStyle w:val="100000000000" w:firstRow="1" w:lastRow="0" w:firstColumn="0" w:lastColumn="0" w:oddVBand="0" w:evenVBand="0" w:oddHBand="0"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1382" w:type="pct"/>
            <w:shd w:val="clear" w:color="auto" w:fill="C2D69B" w:themeFill="accent3" w:themeFillTint="99"/>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bdr w:val="none" w:sz="0" w:space="0" w:color="auto"/>
                <w:lang w:val="es-ES" w:eastAsia="es-ES"/>
              </w:rPr>
            </w:pPr>
          </w:p>
        </w:tc>
        <w:tc>
          <w:tcPr>
            <w:tcW w:w="637" w:type="pct"/>
            <w:shd w:val="clear" w:color="auto" w:fill="C2D69B" w:themeFill="accent3" w:themeFillTint="99"/>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bdr w:val="none" w:sz="0" w:space="0" w:color="auto"/>
                <w:lang w:val="es-ES" w:eastAsia="es-ES"/>
              </w:rPr>
            </w:pPr>
            <w:r w:rsidRPr="00553B82">
              <w:rPr>
                <w:rFonts w:asciiTheme="majorHAnsi" w:eastAsia="Times New Roman" w:hAnsiTheme="majorHAnsi" w:cs="Calibri"/>
                <w:color w:val="000000"/>
                <w:sz w:val="20"/>
                <w:bdr w:val="none" w:sz="0" w:space="0" w:color="auto"/>
                <w:lang w:val="es-ES" w:eastAsia="es-ES"/>
              </w:rPr>
              <w:t>Nº Farmacias</w:t>
            </w:r>
          </w:p>
        </w:tc>
        <w:tc>
          <w:tcPr>
            <w:tcW w:w="568" w:type="pct"/>
            <w:shd w:val="clear" w:color="auto" w:fill="C2D69B" w:themeFill="accent3" w:themeFillTint="99"/>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bdr w:val="none" w:sz="0" w:space="0" w:color="auto"/>
                <w:lang w:val="es-ES" w:eastAsia="es-ES"/>
              </w:rPr>
            </w:pPr>
            <w:r w:rsidRPr="00553B82">
              <w:rPr>
                <w:rFonts w:asciiTheme="majorHAnsi" w:eastAsia="Times New Roman" w:hAnsiTheme="majorHAnsi" w:cs="Calibri"/>
                <w:color w:val="000000"/>
                <w:sz w:val="20"/>
                <w:bdr w:val="none" w:sz="0" w:space="0" w:color="auto"/>
                <w:lang w:val="es-ES" w:eastAsia="es-ES"/>
              </w:rPr>
              <w:t>Titulares únicos</w:t>
            </w:r>
          </w:p>
        </w:tc>
        <w:tc>
          <w:tcPr>
            <w:tcW w:w="859" w:type="pct"/>
            <w:shd w:val="clear" w:color="auto" w:fill="C2D69B" w:themeFill="accent3" w:themeFillTint="99"/>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bdr w:val="none" w:sz="0" w:space="0" w:color="auto"/>
                <w:lang w:val="es-ES" w:eastAsia="es-ES"/>
              </w:rPr>
            </w:pPr>
            <w:r w:rsidRPr="00553B82">
              <w:rPr>
                <w:rFonts w:asciiTheme="majorHAnsi" w:eastAsia="Times New Roman" w:hAnsiTheme="majorHAnsi" w:cs="Calibri"/>
                <w:color w:val="000000"/>
                <w:sz w:val="20"/>
                <w:bdr w:val="none" w:sz="0" w:space="0" w:color="auto"/>
                <w:lang w:val="es-ES" w:eastAsia="es-ES"/>
              </w:rPr>
              <w:t>Copropietarios</w:t>
            </w:r>
          </w:p>
        </w:tc>
        <w:tc>
          <w:tcPr>
            <w:tcW w:w="828" w:type="pct"/>
            <w:shd w:val="clear" w:color="auto" w:fill="C2D69B" w:themeFill="accent3" w:themeFillTint="99"/>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bdr w:val="none" w:sz="0" w:space="0" w:color="auto"/>
                <w:lang w:val="es-ES" w:eastAsia="es-ES"/>
              </w:rPr>
            </w:pPr>
            <w:r w:rsidRPr="00553B82">
              <w:rPr>
                <w:rFonts w:asciiTheme="majorHAnsi" w:eastAsia="Times New Roman" w:hAnsiTheme="majorHAnsi" w:cs="Calibri"/>
                <w:color w:val="000000"/>
                <w:sz w:val="20"/>
                <w:bdr w:val="none" w:sz="0" w:space="0" w:color="auto"/>
                <w:lang w:val="es-ES" w:eastAsia="es-ES"/>
              </w:rPr>
              <w:t>Titulares + copropietarios</w:t>
            </w:r>
          </w:p>
        </w:tc>
        <w:tc>
          <w:tcPr>
            <w:tcW w:w="726" w:type="pct"/>
            <w:shd w:val="clear" w:color="auto" w:fill="C2D69B" w:themeFill="accent3" w:themeFillTint="99"/>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bdr w:val="none" w:sz="0" w:space="0" w:color="auto"/>
                <w:lang w:val="es-ES" w:eastAsia="es-ES"/>
              </w:rPr>
            </w:pPr>
            <w:r w:rsidRPr="00553B82">
              <w:rPr>
                <w:rFonts w:asciiTheme="majorHAnsi" w:eastAsia="Times New Roman" w:hAnsiTheme="majorHAnsi" w:cs="Calibri"/>
                <w:color w:val="000000"/>
                <w:sz w:val="20"/>
                <w:bdr w:val="none" w:sz="0" w:space="0" w:color="auto"/>
                <w:lang w:val="es-ES" w:eastAsia="es-ES"/>
              </w:rPr>
              <w:t>Propietarios por farmacia</w:t>
            </w:r>
          </w:p>
        </w:tc>
      </w:tr>
      <w:tr w:rsidR="00553B82" w:rsidRPr="00553B82" w:rsidTr="00553B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Andalucía</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3.878</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3.115</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1548</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4.663</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1,20</w:t>
            </w:r>
          </w:p>
        </w:tc>
      </w:tr>
      <w:tr w:rsidR="00553B82" w:rsidRPr="00553B82" w:rsidTr="00553B82">
        <w:trPr>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Aragón</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734</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682</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103</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785</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1,07</w:t>
            </w:r>
          </w:p>
        </w:tc>
      </w:tr>
      <w:tr w:rsidR="00553B82" w:rsidRPr="00553B82" w:rsidTr="00553B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Asturias</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455</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411</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88</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499</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1,10</w:t>
            </w:r>
          </w:p>
        </w:tc>
      </w:tr>
      <w:tr w:rsidR="00553B82" w:rsidRPr="00553B82" w:rsidTr="00553B82">
        <w:trPr>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Baleares</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438</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346</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188</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534</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1,22</w:t>
            </w:r>
          </w:p>
        </w:tc>
      </w:tr>
      <w:tr w:rsidR="00553B82" w:rsidRPr="00553B82" w:rsidTr="00553B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Canarias</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762</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671</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172</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843</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1,11</w:t>
            </w:r>
          </w:p>
        </w:tc>
      </w:tr>
      <w:tr w:rsidR="00553B82" w:rsidRPr="00553B82" w:rsidTr="00553B82">
        <w:trPr>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Cantabria</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253</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230</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41</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271</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1,07</w:t>
            </w:r>
          </w:p>
        </w:tc>
      </w:tr>
      <w:tr w:rsidR="00553B82" w:rsidRPr="00553B82" w:rsidTr="00553B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Castilla y León</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1.628</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1.515</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213</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1.728</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1,06</w:t>
            </w:r>
          </w:p>
        </w:tc>
      </w:tr>
      <w:tr w:rsidR="00553B82" w:rsidRPr="00553B82" w:rsidTr="00553B82">
        <w:trPr>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Castilla La Mancha</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1.265</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1.177</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160</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1.337</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1,06</w:t>
            </w:r>
          </w:p>
        </w:tc>
      </w:tr>
      <w:tr w:rsidR="00553B82" w:rsidRPr="00553B82" w:rsidTr="00553B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lastRenderedPageBreak/>
              <w:t>Cataluña</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3.196</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2.810</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760</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3.570</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1,12</w:t>
            </w:r>
          </w:p>
        </w:tc>
      </w:tr>
      <w:tr w:rsidR="00553B82" w:rsidRPr="00553B82" w:rsidTr="00553B82">
        <w:trPr>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C. Valenciana</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2.358</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1.888</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970</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2.858</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1,21</w:t>
            </w:r>
          </w:p>
        </w:tc>
      </w:tr>
      <w:tr w:rsidR="00553B82" w:rsidRPr="00553B82" w:rsidTr="00553B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Extremadura</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671</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616</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111</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727</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1,08</w:t>
            </w:r>
          </w:p>
        </w:tc>
      </w:tr>
      <w:tr w:rsidR="00553B82" w:rsidRPr="00553B82" w:rsidTr="00553B82">
        <w:trPr>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Galicia</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1.344</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1.173</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313</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1.486</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1,11</w:t>
            </w:r>
          </w:p>
        </w:tc>
      </w:tr>
      <w:tr w:rsidR="00553B82" w:rsidRPr="00553B82" w:rsidTr="00553B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Madrid</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2.861</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2.549</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628</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3.177</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1,11</w:t>
            </w:r>
          </w:p>
        </w:tc>
      </w:tr>
      <w:tr w:rsidR="00553B82" w:rsidRPr="00553B82" w:rsidTr="00553B82">
        <w:trPr>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Murcia</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568</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463</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208</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671</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1,18</w:t>
            </w:r>
          </w:p>
        </w:tc>
      </w:tr>
      <w:tr w:rsidR="00553B82" w:rsidRPr="00553B82" w:rsidTr="00553B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Navarra</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601</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543</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58</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601</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1,00</w:t>
            </w:r>
          </w:p>
        </w:tc>
      </w:tr>
      <w:tr w:rsidR="00553B82" w:rsidRPr="00553B82" w:rsidTr="00553B82">
        <w:trPr>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País Vasco</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832</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728</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192</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920</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1,11</w:t>
            </w:r>
          </w:p>
        </w:tc>
      </w:tr>
      <w:tr w:rsidR="00553B82" w:rsidRPr="00553B82" w:rsidTr="00553B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Rioja</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156</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144</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27</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171</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1,10</w:t>
            </w:r>
          </w:p>
        </w:tc>
      </w:tr>
      <w:tr w:rsidR="00553B82" w:rsidRPr="00553B82" w:rsidTr="00553B82">
        <w:trPr>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Ceuta</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24</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22</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4</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26</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1,08</w:t>
            </w:r>
          </w:p>
        </w:tc>
      </w:tr>
      <w:tr w:rsidR="00553B82" w:rsidRPr="00553B82" w:rsidTr="00553B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2" w:type="pct"/>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Melilla</w:t>
            </w:r>
          </w:p>
        </w:tc>
        <w:tc>
          <w:tcPr>
            <w:tcW w:w="637"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22</w:t>
            </w:r>
          </w:p>
        </w:tc>
        <w:tc>
          <w:tcPr>
            <w:tcW w:w="56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17</w:t>
            </w:r>
          </w:p>
        </w:tc>
        <w:tc>
          <w:tcPr>
            <w:tcW w:w="859"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11</w:t>
            </w:r>
          </w:p>
        </w:tc>
        <w:tc>
          <w:tcPr>
            <w:tcW w:w="828"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28</w:t>
            </w:r>
          </w:p>
        </w:tc>
        <w:tc>
          <w:tcPr>
            <w:tcW w:w="726" w:type="pct"/>
            <w:noWrap/>
            <w:hideMark/>
          </w:tcPr>
          <w:p w:rsidR="00553B82" w:rsidRPr="00553B82" w:rsidRDefault="00553B82" w:rsidP="0044341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bdr w:val="none" w:sz="0" w:space="0" w:color="auto"/>
                <w:lang w:val="es-ES" w:eastAsia="es-ES"/>
              </w:rPr>
            </w:pPr>
            <w:r w:rsidRPr="00553B82">
              <w:rPr>
                <w:rFonts w:asciiTheme="majorHAnsi" w:eastAsia="Times New Roman" w:hAnsiTheme="majorHAnsi" w:cs="Calibri"/>
                <w:color w:val="000000"/>
                <w:bdr w:val="none" w:sz="0" w:space="0" w:color="auto"/>
                <w:lang w:val="es-ES" w:eastAsia="es-ES"/>
              </w:rPr>
              <w:t>1,27</w:t>
            </w:r>
          </w:p>
        </w:tc>
      </w:tr>
      <w:tr w:rsidR="00553B82" w:rsidRPr="00553B82" w:rsidTr="00553B82">
        <w:trPr>
          <w:trHeight w:val="300"/>
        </w:trPr>
        <w:tc>
          <w:tcPr>
            <w:cnfStyle w:val="001000000000" w:firstRow="0" w:lastRow="0" w:firstColumn="1" w:lastColumn="0" w:oddVBand="0" w:evenVBand="0" w:oddHBand="0" w:evenHBand="0" w:firstRowFirstColumn="0" w:firstRowLastColumn="0" w:lastRowFirstColumn="0" w:lastRowLastColumn="0"/>
            <w:tcW w:w="1382" w:type="pct"/>
            <w:shd w:val="clear" w:color="auto" w:fill="00B050"/>
            <w:noWrap/>
            <w:hideMark/>
          </w:tcPr>
          <w:p w:rsidR="00553B82" w:rsidRPr="00553B82" w:rsidRDefault="00553B82" w:rsidP="00553B8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2"/>
                <w:bdr w:val="none" w:sz="0" w:space="0" w:color="auto"/>
                <w:lang w:val="es-ES" w:eastAsia="es-ES"/>
              </w:rPr>
            </w:pPr>
            <w:r w:rsidRPr="00553B82">
              <w:rPr>
                <w:rFonts w:asciiTheme="majorHAnsi" w:eastAsia="Times New Roman" w:hAnsiTheme="majorHAnsi" w:cs="Calibri"/>
                <w:color w:val="000000"/>
                <w:sz w:val="22"/>
                <w:bdr w:val="none" w:sz="0" w:space="0" w:color="auto"/>
                <w:lang w:val="es-ES" w:eastAsia="es-ES"/>
              </w:rPr>
              <w:t>Total Nacional</w:t>
            </w:r>
          </w:p>
        </w:tc>
        <w:tc>
          <w:tcPr>
            <w:tcW w:w="637" w:type="pct"/>
            <w:shd w:val="clear" w:color="auto" w:fill="00B050"/>
            <w:noWrap/>
            <w:hideMark/>
          </w:tcPr>
          <w:p w:rsidR="00553B82" w:rsidRPr="00553B82" w:rsidRDefault="00553B82" w:rsidP="00FD4CB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000000"/>
                <w:bdr w:val="none" w:sz="0" w:space="0" w:color="auto"/>
                <w:lang w:val="es-ES" w:eastAsia="es-ES"/>
              </w:rPr>
            </w:pPr>
            <w:r w:rsidRPr="00553B82">
              <w:rPr>
                <w:rFonts w:asciiTheme="majorHAnsi" w:eastAsia="Times New Roman" w:hAnsiTheme="majorHAnsi" w:cs="Calibri"/>
                <w:b/>
                <w:color w:val="000000"/>
                <w:bdr w:val="none" w:sz="0" w:space="0" w:color="auto"/>
                <w:lang w:val="es-ES" w:eastAsia="es-ES"/>
              </w:rPr>
              <w:t>22.046</w:t>
            </w:r>
          </w:p>
        </w:tc>
        <w:tc>
          <w:tcPr>
            <w:tcW w:w="568" w:type="pct"/>
            <w:shd w:val="clear" w:color="auto" w:fill="00B050"/>
            <w:noWrap/>
            <w:hideMark/>
          </w:tcPr>
          <w:p w:rsidR="00553B82" w:rsidRPr="00553B82" w:rsidRDefault="00553B82" w:rsidP="00FD4CB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000000"/>
                <w:bdr w:val="none" w:sz="0" w:space="0" w:color="auto"/>
                <w:lang w:val="es-ES" w:eastAsia="es-ES"/>
              </w:rPr>
            </w:pPr>
            <w:r w:rsidRPr="00553B82">
              <w:rPr>
                <w:rFonts w:asciiTheme="majorHAnsi" w:eastAsia="Times New Roman" w:hAnsiTheme="majorHAnsi" w:cs="Calibri"/>
                <w:b/>
                <w:color w:val="000000"/>
                <w:bdr w:val="none" w:sz="0" w:space="0" w:color="auto"/>
                <w:lang w:val="es-ES" w:eastAsia="es-ES"/>
              </w:rPr>
              <w:t>19.100</w:t>
            </w:r>
          </w:p>
        </w:tc>
        <w:tc>
          <w:tcPr>
            <w:tcW w:w="859" w:type="pct"/>
            <w:shd w:val="clear" w:color="auto" w:fill="00B050"/>
            <w:noWrap/>
            <w:hideMark/>
          </w:tcPr>
          <w:p w:rsidR="00553B82" w:rsidRPr="00553B82" w:rsidRDefault="00553B82" w:rsidP="00FD4CB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000000"/>
                <w:bdr w:val="none" w:sz="0" w:space="0" w:color="auto"/>
                <w:lang w:val="es-ES" w:eastAsia="es-ES"/>
              </w:rPr>
            </w:pPr>
            <w:r w:rsidRPr="00553B82">
              <w:rPr>
                <w:rFonts w:asciiTheme="majorHAnsi" w:eastAsia="Times New Roman" w:hAnsiTheme="majorHAnsi" w:cs="Calibri"/>
                <w:b/>
                <w:color w:val="000000"/>
                <w:bdr w:val="none" w:sz="0" w:space="0" w:color="auto"/>
                <w:lang w:val="es-ES" w:eastAsia="es-ES"/>
              </w:rPr>
              <w:t>5795</w:t>
            </w:r>
          </w:p>
        </w:tc>
        <w:tc>
          <w:tcPr>
            <w:tcW w:w="828" w:type="pct"/>
            <w:shd w:val="clear" w:color="auto" w:fill="00B050"/>
            <w:noWrap/>
            <w:hideMark/>
          </w:tcPr>
          <w:p w:rsidR="00553B82" w:rsidRPr="00553B82" w:rsidRDefault="00553B82" w:rsidP="00FD4CB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000000"/>
                <w:bdr w:val="none" w:sz="0" w:space="0" w:color="auto"/>
                <w:lang w:val="es-ES" w:eastAsia="es-ES"/>
              </w:rPr>
            </w:pPr>
            <w:r w:rsidRPr="00553B82">
              <w:rPr>
                <w:rFonts w:asciiTheme="majorHAnsi" w:eastAsia="Times New Roman" w:hAnsiTheme="majorHAnsi" w:cs="Calibri"/>
                <w:b/>
                <w:color w:val="000000"/>
                <w:bdr w:val="none" w:sz="0" w:space="0" w:color="auto"/>
                <w:lang w:val="es-ES" w:eastAsia="es-ES"/>
              </w:rPr>
              <w:t>24.895</w:t>
            </w:r>
          </w:p>
        </w:tc>
        <w:tc>
          <w:tcPr>
            <w:tcW w:w="726" w:type="pct"/>
            <w:shd w:val="clear" w:color="auto" w:fill="00B050"/>
            <w:noWrap/>
            <w:hideMark/>
          </w:tcPr>
          <w:p w:rsidR="00553B82" w:rsidRPr="00553B82" w:rsidRDefault="00553B82" w:rsidP="00FD4CB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000000"/>
                <w:bdr w:val="none" w:sz="0" w:space="0" w:color="auto"/>
                <w:lang w:val="es-ES" w:eastAsia="es-ES"/>
              </w:rPr>
            </w:pPr>
            <w:r w:rsidRPr="00553B82">
              <w:rPr>
                <w:rFonts w:asciiTheme="majorHAnsi" w:eastAsia="Times New Roman" w:hAnsiTheme="majorHAnsi" w:cs="Calibri"/>
                <w:b/>
                <w:color w:val="000000"/>
                <w:bdr w:val="none" w:sz="0" w:space="0" w:color="auto"/>
                <w:lang w:val="es-ES" w:eastAsia="es-ES"/>
              </w:rPr>
              <w:t>1,13</w:t>
            </w:r>
          </w:p>
        </w:tc>
      </w:tr>
    </w:tbl>
    <w:p w:rsidR="00553B82" w:rsidRDefault="00553B82" w:rsidP="00782B49">
      <w:pPr>
        <w:pStyle w:val="Cuerpo"/>
        <w:jc w:val="both"/>
        <w:rPr>
          <w:rFonts w:asciiTheme="minorHAnsi" w:hAnsiTheme="minorHAnsi"/>
          <w:color w:val="000000" w:themeColor="text1"/>
        </w:rPr>
      </w:pPr>
    </w:p>
    <w:p w:rsidR="00553B82" w:rsidRDefault="00553B82" w:rsidP="00782B49">
      <w:pPr>
        <w:pStyle w:val="Cuerpo"/>
        <w:jc w:val="both"/>
        <w:rPr>
          <w:rFonts w:asciiTheme="minorHAnsi" w:hAnsiTheme="minorHAnsi"/>
          <w:color w:val="000000" w:themeColor="text1"/>
        </w:rPr>
      </w:pPr>
    </w:p>
    <w:p w:rsidR="00553B82" w:rsidRDefault="0044341D" w:rsidP="00782B49">
      <w:pPr>
        <w:pStyle w:val="Cuerpo"/>
        <w:jc w:val="both"/>
        <w:rPr>
          <w:rFonts w:asciiTheme="minorHAnsi" w:hAnsiTheme="minorHAnsi"/>
          <w:color w:val="000000" w:themeColor="text1"/>
        </w:rPr>
      </w:pPr>
      <w:r>
        <w:rPr>
          <w:rFonts w:asciiTheme="minorHAnsi" w:hAnsiTheme="minorHAnsi"/>
          <w:color w:val="000000" w:themeColor="text1"/>
        </w:rPr>
        <w:t>Aunque las diferencias son poco significativas, ya que oscilan entre 1,27 farmacéuticos propietarios por farmacia en Melilla y 1,00 en Navarra, se puede establecer un gradiente de farmacéuticos propietarios tal como el que aparece en el siguiente cuadro. En ninguna Comunidad Autónoma se obliga a la existencia de cotitulares, con la excepción del País Vasco, si se quiere mantener un horario de 24 horas, de ahí que la proliferación de farmacias de 24 horas sea menor en esta región.</w:t>
      </w:r>
    </w:p>
    <w:p w:rsidR="00FD4CBE" w:rsidRDefault="00FD4CBE" w:rsidP="00782B49">
      <w:pPr>
        <w:pStyle w:val="Cuerpo"/>
        <w:jc w:val="both"/>
        <w:rPr>
          <w:rFonts w:asciiTheme="minorHAnsi" w:hAnsiTheme="minorHAnsi"/>
          <w:color w:val="000000" w:themeColor="text1"/>
        </w:rPr>
      </w:pPr>
    </w:p>
    <w:p w:rsidR="00FD4CBE" w:rsidRDefault="00FD4CBE" w:rsidP="00782B49">
      <w:pPr>
        <w:pStyle w:val="Cuerpo"/>
        <w:jc w:val="both"/>
        <w:rPr>
          <w:rFonts w:asciiTheme="minorHAnsi" w:hAnsiTheme="minorHAnsi"/>
          <w:color w:val="000000" w:themeColor="text1"/>
        </w:rPr>
      </w:pPr>
      <w:r>
        <w:rPr>
          <w:rFonts w:asciiTheme="minorHAnsi" w:hAnsiTheme="minorHAnsi"/>
          <w:color w:val="000000" w:themeColor="text1"/>
        </w:rPr>
        <w:t>La media nacional se encuentra en 1,13 farmacéuticos por lo que solo 5 regiones se encuentran por encima de la media: Melilla, Baleares, C. Valenciana, Andalucía y Murcia.</w:t>
      </w:r>
    </w:p>
    <w:p w:rsidR="00553B82" w:rsidRDefault="00553B82" w:rsidP="00782B49">
      <w:pPr>
        <w:pStyle w:val="Cuerpo"/>
        <w:jc w:val="both"/>
        <w:rPr>
          <w:rFonts w:asciiTheme="minorHAnsi" w:hAnsiTheme="minorHAnsi"/>
          <w:color w:val="000000" w:themeColor="text1"/>
        </w:rPr>
      </w:pPr>
    </w:p>
    <w:p w:rsidR="00553B82" w:rsidRDefault="00553B82" w:rsidP="00782B49">
      <w:pPr>
        <w:pStyle w:val="Cuerpo"/>
        <w:jc w:val="both"/>
        <w:rPr>
          <w:rFonts w:asciiTheme="minorHAnsi" w:hAnsiTheme="minorHAnsi"/>
          <w:color w:val="000000" w:themeColor="text1"/>
        </w:rPr>
      </w:pPr>
    </w:p>
    <w:p w:rsidR="00553B82" w:rsidRDefault="00FD4CBE" w:rsidP="00FD4CBE">
      <w:pPr>
        <w:pStyle w:val="Cuerpo"/>
        <w:jc w:val="center"/>
        <w:rPr>
          <w:rFonts w:asciiTheme="minorHAnsi" w:hAnsiTheme="minorHAnsi"/>
          <w:color w:val="000000" w:themeColor="text1"/>
        </w:rPr>
      </w:pPr>
      <w:r>
        <w:rPr>
          <w:noProof/>
          <w:lang w:val="es-ES"/>
        </w:rPr>
        <w:drawing>
          <wp:inline distT="0" distB="0" distL="0" distR="0" wp14:anchorId="5014A143" wp14:editId="10EA634B">
            <wp:extent cx="4154400" cy="2606400"/>
            <wp:effectExtent l="0" t="0" r="0" b="381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53B82" w:rsidRDefault="00553B82" w:rsidP="00782B49">
      <w:pPr>
        <w:pStyle w:val="Cuerpo"/>
        <w:jc w:val="both"/>
        <w:rPr>
          <w:rFonts w:asciiTheme="minorHAnsi" w:hAnsiTheme="minorHAnsi"/>
          <w:color w:val="000000" w:themeColor="text1"/>
        </w:rPr>
      </w:pPr>
    </w:p>
    <w:p w:rsidR="00553B82" w:rsidRPr="00306B17" w:rsidRDefault="00FD4CBE" w:rsidP="00782B49">
      <w:pPr>
        <w:pStyle w:val="Cuerpo"/>
        <w:jc w:val="both"/>
        <w:rPr>
          <w:rFonts w:asciiTheme="minorHAnsi" w:hAnsiTheme="minorHAnsi"/>
          <w:color w:val="000000" w:themeColor="text1"/>
        </w:rPr>
      </w:pPr>
      <w:r>
        <w:rPr>
          <w:rFonts w:asciiTheme="minorHAnsi" w:hAnsiTheme="minorHAnsi"/>
          <w:color w:val="000000" w:themeColor="text1"/>
        </w:rPr>
        <w:lastRenderedPageBreak/>
        <w:t>El resto del personal farmacéutico existente en las farmacias aparece en el siguiente cuadro que suman en total 25.689 farmacéuticos que trabajan en las farmacias como empleados.</w:t>
      </w:r>
    </w:p>
    <w:p w:rsidR="00782B49" w:rsidRDefault="00782B49" w:rsidP="00782B49">
      <w:pPr>
        <w:pStyle w:val="Cuerpo"/>
        <w:jc w:val="both"/>
        <w:rPr>
          <w:rFonts w:asciiTheme="minorHAnsi" w:hAnsiTheme="minorHAnsi"/>
          <w:b/>
          <w:color w:val="00B050"/>
          <w:sz w:val="28"/>
        </w:rPr>
      </w:pPr>
    </w:p>
    <w:tbl>
      <w:tblPr>
        <w:tblStyle w:val="Sombreadoclaro-nfasis3"/>
        <w:tblW w:w="5000" w:type="pct"/>
        <w:tblLook w:val="04A0" w:firstRow="1" w:lastRow="0" w:firstColumn="1" w:lastColumn="0" w:noHBand="0" w:noVBand="1"/>
      </w:tblPr>
      <w:tblGrid>
        <w:gridCol w:w="2850"/>
        <w:gridCol w:w="1229"/>
        <w:gridCol w:w="1201"/>
        <w:gridCol w:w="1305"/>
        <w:gridCol w:w="841"/>
        <w:gridCol w:w="1412"/>
      </w:tblGrid>
      <w:tr w:rsidR="00306B17" w:rsidRPr="00BE58B9" w:rsidTr="00306B17">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612" w:type="pct"/>
            <w:shd w:val="clear" w:color="auto" w:fill="C2D69B" w:themeFill="accent3" w:themeFillTint="99"/>
            <w:noWrap/>
            <w:vAlign w:val="center"/>
            <w:hideMark/>
          </w:tcPr>
          <w:p w:rsidR="0051773F" w:rsidRPr="0051773F" w:rsidRDefault="00306B17" w:rsidP="00306B1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s-ES" w:eastAsia="es-ES"/>
              </w:rPr>
            </w:pPr>
            <w:r>
              <w:rPr>
                <w:rFonts w:ascii="Calibri" w:eastAsia="Times New Roman" w:hAnsi="Calibri" w:cs="Calibri"/>
                <w:color w:val="000000"/>
                <w:sz w:val="22"/>
                <w:szCs w:val="22"/>
                <w:bdr w:val="none" w:sz="0" w:space="0" w:color="auto"/>
                <w:lang w:val="es-ES" w:eastAsia="es-ES"/>
              </w:rPr>
              <w:t>CC.AA</w:t>
            </w:r>
          </w:p>
        </w:tc>
        <w:tc>
          <w:tcPr>
            <w:tcW w:w="695" w:type="pct"/>
            <w:shd w:val="clear" w:color="auto" w:fill="C2D69B" w:themeFill="accent3" w:themeFillTint="99"/>
            <w:noWrap/>
            <w:vAlign w:val="center"/>
            <w:hideMark/>
          </w:tcPr>
          <w:p w:rsidR="0051773F" w:rsidRPr="0051773F" w:rsidRDefault="0051773F" w:rsidP="00306B17">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Regentes</w:t>
            </w:r>
          </w:p>
        </w:tc>
        <w:tc>
          <w:tcPr>
            <w:tcW w:w="679" w:type="pct"/>
            <w:shd w:val="clear" w:color="auto" w:fill="C2D69B" w:themeFill="accent3" w:themeFillTint="99"/>
            <w:noWrap/>
            <w:vAlign w:val="center"/>
            <w:hideMark/>
          </w:tcPr>
          <w:p w:rsidR="0051773F" w:rsidRPr="0051773F" w:rsidRDefault="0051773F" w:rsidP="00306B17">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Adjuntos</w:t>
            </w:r>
          </w:p>
        </w:tc>
        <w:tc>
          <w:tcPr>
            <w:tcW w:w="738" w:type="pct"/>
            <w:shd w:val="clear" w:color="auto" w:fill="C2D69B" w:themeFill="accent3" w:themeFillTint="99"/>
            <w:noWrap/>
            <w:vAlign w:val="center"/>
            <w:hideMark/>
          </w:tcPr>
          <w:p w:rsidR="0051773F" w:rsidRPr="0051773F" w:rsidRDefault="0051773F" w:rsidP="00306B17">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Sustitutos</w:t>
            </w:r>
          </w:p>
        </w:tc>
        <w:tc>
          <w:tcPr>
            <w:tcW w:w="476" w:type="pct"/>
            <w:shd w:val="clear" w:color="auto" w:fill="C2D69B" w:themeFill="accent3" w:themeFillTint="99"/>
            <w:noWrap/>
            <w:vAlign w:val="center"/>
            <w:hideMark/>
          </w:tcPr>
          <w:p w:rsidR="0051773F" w:rsidRPr="0051773F" w:rsidRDefault="0051773F" w:rsidP="00306B17">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Otros</w:t>
            </w:r>
          </w:p>
        </w:tc>
        <w:tc>
          <w:tcPr>
            <w:tcW w:w="799" w:type="pct"/>
            <w:shd w:val="clear" w:color="auto" w:fill="C2D69B" w:themeFill="accent3" w:themeFillTint="99"/>
            <w:vAlign w:val="center"/>
            <w:hideMark/>
          </w:tcPr>
          <w:p w:rsidR="0051773F" w:rsidRPr="0051773F" w:rsidRDefault="0051773F" w:rsidP="00306B17">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Regentes + Adjuntos + Sustitutos + otros farm.</w:t>
            </w:r>
          </w:p>
        </w:tc>
      </w:tr>
      <w:tr w:rsidR="00306B17" w:rsidRPr="0051773F" w:rsidTr="00306B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Andalucía</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14</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4083</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175</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4272</w:t>
            </w:r>
          </w:p>
        </w:tc>
      </w:tr>
      <w:tr w:rsidR="0051773F" w:rsidRPr="0051773F" w:rsidTr="00306B17">
        <w:trPr>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Aragón</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463</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16</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481</w:t>
            </w:r>
          </w:p>
        </w:tc>
      </w:tr>
      <w:tr w:rsidR="00306B17" w:rsidRPr="0051773F" w:rsidTr="00306B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Asturias</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0</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498</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67</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565</w:t>
            </w:r>
          </w:p>
        </w:tc>
      </w:tr>
      <w:tr w:rsidR="0051773F" w:rsidRPr="0051773F" w:rsidTr="00306B17">
        <w:trPr>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Baleares</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0</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348</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3</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351</w:t>
            </w:r>
          </w:p>
        </w:tc>
      </w:tr>
      <w:tr w:rsidR="00306B17" w:rsidRPr="0051773F" w:rsidTr="00306B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Canarias</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5</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1306</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21</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1332</w:t>
            </w:r>
          </w:p>
        </w:tc>
      </w:tr>
      <w:tr w:rsidR="0051773F" w:rsidRPr="0051773F" w:rsidTr="00306B17">
        <w:trPr>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Cantabria</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266</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270</w:t>
            </w:r>
          </w:p>
        </w:tc>
      </w:tr>
      <w:tr w:rsidR="00306B17" w:rsidRPr="0051773F" w:rsidTr="00306B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Castilla y León</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8</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1138</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26</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33</w:t>
            </w: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1205</w:t>
            </w:r>
          </w:p>
        </w:tc>
      </w:tr>
      <w:tr w:rsidR="0051773F" w:rsidRPr="0051773F" w:rsidTr="00306B17">
        <w:trPr>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Castilla La Mancha</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8</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757</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10</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775</w:t>
            </w:r>
          </w:p>
        </w:tc>
      </w:tr>
      <w:tr w:rsidR="00306B17" w:rsidRPr="0051773F" w:rsidTr="00306B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Cataluña</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14</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903</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w:t>
            </w:r>
            <w:r w:rsidR="002B11B1">
              <w:rPr>
                <w:rFonts w:ascii="Calibri" w:eastAsia="Times New Roman" w:hAnsi="Calibri" w:cs="Calibri"/>
                <w:color w:val="000000"/>
                <w:sz w:val="22"/>
                <w:szCs w:val="22"/>
                <w:bdr w:val="none" w:sz="0" w:space="0" w:color="auto"/>
                <w:lang w:val="es-ES" w:eastAsia="es-ES"/>
              </w:rPr>
              <w:t>.</w:t>
            </w:r>
            <w:r w:rsidRPr="0051773F">
              <w:rPr>
                <w:rFonts w:ascii="Calibri" w:eastAsia="Times New Roman" w:hAnsi="Calibri" w:cs="Calibri"/>
                <w:color w:val="000000"/>
                <w:sz w:val="22"/>
                <w:szCs w:val="22"/>
                <w:bdr w:val="none" w:sz="0" w:space="0" w:color="auto"/>
                <w:lang w:val="es-ES" w:eastAsia="es-ES"/>
              </w:rPr>
              <w:t>651</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63</w:t>
            </w: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3631</w:t>
            </w:r>
          </w:p>
        </w:tc>
      </w:tr>
      <w:tr w:rsidR="0051773F" w:rsidRPr="0051773F" w:rsidTr="00306B17">
        <w:trPr>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Comunidad Valenciana</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12</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2113</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84</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2209</w:t>
            </w:r>
          </w:p>
        </w:tc>
      </w:tr>
      <w:tr w:rsidR="00306B17" w:rsidRPr="0051773F" w:rsidTr="00306B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Extremadura</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0</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255</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84</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4</w:t>
            </w: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343</w:t>
            </w:r>
          </w:p>
        </w:tc>
      </w:tr>
      <w:tr w:rsidR="0051773F" w:rsidRPr="0051773F" w:rsidTr="00306B17">
        <w:trPr>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Galicia</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5</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2096</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28</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2129</w:t>
            </w:r>
          </w:p>
        </w:tc>
      </w:tr>
      <w:tr w:rsidR="00306B17" w:rsidRPr="0051773F" w:rsidTr="00306B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Madrid</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6</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5036</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41</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32</w:t>
            </w: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5115</w:t>
            </w:r>
          </w:p>
        </w:tc>
      </w:tr>
      <w:tr w:rsidR="0051773F" w:rsidRPr="0051773F" w:rsidTr="00306B17">
        <w:trPr>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Murcia</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3</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514</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60</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186</w:t>
            </w: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763</w:t>
            </w:r>
          </w:p>
        </w:tc>
      </w:tr>
      <w:tr w:rsidR="00306B17" w:rsidRPr="0051773F" w:rsidTr="00306B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Navarra</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0</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462</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3</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465</w:t>
            </w:r>
          </w:p>
        </w:tc>
      </w:tr>
      <w:tr w:rsidR="0051773F" w:rsidRPr="0051773F" w:rsidTr="00306B17">
        <w:trPr>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País Vasco</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8</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1465</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96</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1569</w:t>
            </w:r>
          </w:p>
        </w:tc>
      </w:tr>
      <w:tr w:rsidR="00306B17" w:rsidRPr="0051773F" w:rsidTr="00306B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Rioja</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0</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148</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4</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152</w:t>
            </w:r>
          </w:p>
        </w:tc>
      </w:tr>
      <w:tr w:rsidR="0051773F" w:rsidRPr="0051773F" w:rsidTr="00306B17">
        <w:trPr>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Ceuta</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0</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30</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0</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30</w:t>
            </w:r>
          </w:p>
        </w:tc>
      </w:tr>
      <w:tr w:rsidR="00306B17" w:rsidRPr="0051773F" w:rsidTr="00306B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2"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Melilla</w:t>
            </w:r>
          </w:p>
        </w:tc>
        <w:tc>
          <w:tcPr>
            <w:tcW w:w="695"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0</w:t>
            </w:r>
          </w:p>
        </w:tc>
        <w:tc>
          <w:tcPr>
            <w:tcW w:w="67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32</w:t>
            </w:r>
          </w:p>
        </w:tc>
        <w:tc>
          <w:tcPr>
            <w:tcW w:w="738"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0</w:t>
            </w:r>
          </w:p>
        </w:tc>
        <w:tc>
          <w:tcPr>
            <w:tcW w:w="476"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p>
        </w:tc>
        <w:tc>
          <w:tcPr>
            <w:tcW w:w="799" w:type="pct"/>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32</w:t>
            </w:r>
          </w:p>
        </w:tc>
      </w:tr>
      <w:tr w:rsidR="00306B17" w:rsidRPr="0051773F" w:rsidTr="00306B17">
        <w:trPr>
          <w:trHeight w:val="300"/>
        </w:trPr>
        <w:tc>
          <w:tcPr>
            <w:cnfStyle w:val="001000000000" w:firstRow="0" w:lastRow="0" w:firstColumn="1" w:lastColumn="0" w:oddVBand="0" w:evenVBand="0" w:oddHBand="0" w:evenHBand="0" w:firstRowFirstColumn="0" w:firstRowLastColumn="0" w:lastRowFirstColumn="0" w:lastRowLastColumn="0"/>
            <w:tcW w:w="1612" w:type="pct"/>
            <w:shd w:val="clear" w:color="auto" w:fill="00B050"/>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Total Nacional</w:t>
            </w:r>
          </w:p>
        </w:tc>
        <w:tc>
          <w:tcPr>
            <w:tcW w:w="695" w:type="pct"/>
            <w:shd w:val="clear" w:color="auto" w:fill="00B050"/>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87</w:t>
            </w:r>
          </w:p>
        </w:tc>
        <w:tc>
          <w:tcPr>
            <w:tcW w:w="679" w:type="pct"/>
            <w:shd w:val="clear" w:color="auto" w:fill="00B050"/>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21</w:t>
            </w:r>
            <w:r w:rsidR="002B11B1">
              <w:rPr>
                <w:rFonts w:ascii="Calibri" w:eastAsia="Times New Roman" w:hAnsi="Calibri" w:cs="Calibri"/>
                <w:color w:val="000000"/>
                <w:sz w:val="22"/>
                <w:szCs w:val="22"/>
                <w:bdr w:val="none" w:sz="0" w:space="0" w:color="auto"/>
                <w:lang w:val="es-ES" w:eastAsia="es-ES"/>
              </w:rPr>
              <w:t>.</w:t>
            </w:r>
            <w:r w:rsidRPr="0051773F">
              <w:rPr>
                <w:rFonts w:ascii="Calibri" w:eastAsia="Times New Roman" w:hAnsi="Calibri" w:cs="Calibri"/>
                <w:color w:val="000000"/>
                <w:sz w:val="22"/>
                <w:szCs w:val="22"/>
                <w:bdr w:val="none" w:sz="0" w:space="0" w:color="auto"/>
                <w:lang w:val="es-ES" w:eastAsia="es-ES"/>
              </w:rPr>
              <w:t>913</w:t>
            </w:r>
          </w:p>
        </w:tc>
        <w:tc>
          <w:tcPr>
            <w:tcW w:w="738" w:type="pct"/>
            <w:shd w:val="clear" w:color="auto" w:fill="00B050"/>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3</w:t>
            </w:r>
            <w:r w:rsidR="002B11B1">
              <w:rPr>
                <w:rFonts w:ascii="Calibri" w:eastAsia="Times New Roman" w:hAnsi="Calibri" w:cs="Calibri"/>
                <w:color w:val="000000"/>
                <w:sz w:val="22"/>
                <w:szCs w:val="22"/>
                <w:bdr w:val="none" w:sz="0" w:space="0" w:color="auto"/>
                <w:lang w:val="es-ES" w:eastAsia="es-ES"/>
              </w:rPr>
              <w:t>.</w:t>
            </w:r>
            <w:r w:rsidRPr="0051773F">
              <w:rPr>
                <w:rFonts w:ascii="Calibri" w:eastAsia="Times New Roman" w:hAnsi="Calibri" w:cs="Calibri"/>
                <w:color w:val="000000"/>
                <w:sz w:val="22"/>
                <w:szCs w:val="22"/>
                <w:bdr w:val="none" w:sz="0" w:space="0" w:color="auto"/>
                <w:lang w:val="es-ES" w:eastAsia="es-ES"/>
              </w:rPr>
              <w:t>371</w:t>
            </w:r>
          </w:p>
        </w:tc>
        <w:tc>
          <w:tcPr>
            <w:tcW w:w="476" w:type="pct"/>
            <w:shd w:val="clear" w:color="auto" w:fill="00B050"/>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318</w:t>
            </w:r>
          </w:p>
        </w:tc>
        <w:tc>
          <w:tcPr>
            <w:tcW w:w="799" w:type="pct"/>
            <w:shd w:val="clear" w:color="auto" w:fill="00B050"/>
            <w:noWrap/>
            <w:hideMark/>
          </w:tcPr>
          <w:p w:rsidR="0051773F" w:rsidRPr="0051773F" w:rsidRDefault="0051773F" w:rsidP="0051773F">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51773F">
              <w:rPr>
                <w:rFonts w:ascii="Calibri" w:eastAsia="Times New Roman" w:hAnsi="Calibri" w:cs="Calibri"/>
                <w:color w:val="000000"/>
                <w:sz w:val="22"/>
                <w:szCs w:val="22"/>
                <w:bdr w:val="none" w:sz="0" w:space="0" w:color="auto"/>
                <w:lang w:val="es-ES" w:eastAsia="es-ES"/>
              </w:rPr>
              <w:t>25</w:t>
            </w:r>
            <w:r w:rsidR="002B11B1">
              <w:rPr>
                <w:rFonts w:ascii="Calibri" w:eastAsia="Times New Roman" w:hAnsi="Calibri" w:cs="Calibri"/>
                <w:color w:val="000000"/>
                <w:sz w:val="22"/>
                <w:szCs w:val="22"/>
                <w:bdr w:val="none" w:sz="0" w:space="0" w:color="auto"/>
                <w:lang w:val="es-ES" w:eastAsia="es-ES"/>
              </w:rPr>
              <w:t>.</w:t>
            </w:r>
            <w:r w:rsidRPr="0051773F">
              <w:rPr>
                <w:rFonts w:ascii="Calibri" w:eastAsia="Times New Roman" w:hAnsi="Calibri" w:cs="Calibri"/>
                <w:color w:val="000000"/>
                <w:sz w:val="22"/>
                <w:szCs w:val="22"/>
                <w:bdr w:val="none" w:sz="0" w:space="0" w:color="auto"/>
                <w:lang w:val="es-ES" w:eastAsia="es-ES"/>
              </w:rPr>
              <w:t>689</w:t>
            </w:r>
          </w:p>
        </w:tc>
      </w:tr>
    </w:tbl>
    <w:p w:rsidR="00782B49" w:rsidRDefault="00782B49" w:rsidP="00782B49">
      <w:pPr>
        <w:pStyle w:val="Cuerpo"/>
        <w:jc w:val="both"/>
        <w:rPr>
          <w:b/>
          <w:color w:val="92D050"/>
          <w:sz w:val="32"/>
        </w:rPr>
      </w:pPr>
    </w:p>
    <w:p w:rsidR="002B11B1" w:rsidRDefault="00336E06" w:rsidP="00336E06">
      <w:pPr>
        <w:pStyle w:val="Cuerpo"/>
        <w:jc w:val="both"/>
        <w:rPr>
          <w:rStyle w:val="Ninguno"/>
          <w:sz w:val="32"/>
          <w:szCs w:val="32"/>
        </w:rPr>
      </w:pPr>
      <w:r w:rsidRPr="006C6300">
        <w:rPr>
          <w:rFonts w:asciiTheme="majorHAnsi" w:hAnsiTheme="majorHAnsi"/>
          <w:noProof/>
          <w:lang w:val="es-ES"/>
        </w:rPr>
        <w:drawing>
          <wp:anchor distT="0" distB="0" distL="114300" distR="114300" simplePos="0" relativeHeight="251661824" behindDoc="0" locked="0" layoutInCell="1" allowOverlap="1" wp14:anchorId="44483528" wp14:editId="212C262F">
            <wp:simplePos x="0" y="0"/>
            <wp:positionH relativeFrom="column">
              <wp:posOffset>381635</wp:posOffset>
            </wp:positionH>
            <wp:positionV relativeFrom="paragraph">
              <wp:posOffset>488315</wp:posOffset>
            </wp:positionV>
            <wp:extent cx="5150485" cy="2522855"/>
            <wp:effectExtent l="0" t="0" r="0" b="0"/>
            <wp:wrapSquare wrapText="bothSides"/>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6C6300">
        <w:rPr>
          <w:rFonts w:asciiTheme="majorHAnsi" w:hAnsiTheme="majorHAnsi"/>
          <w:color w:val="000000" w:themeColor="text1"/>
        </w:rPr>
        <w:t>El siguiente gráfico muestra la contratación de farmacéuticos por regiones, donde ocupan las primeras posiciones: el País Vasco, Madrid, Canarias Galicia, Melilla y Murcia</w:t>
      </w:r>
      <w:r>
        <w:rPr>
          <w:color w:val="000000" w:themeColor="text1"/>
        </w:rPr>
        <w:t>.</w:t>
      </w:r>
    </w:p>
    <w:p w:rsidR="002B11B1" w:rsidRPr="002B11B1" w:rsidRDefault="002B11B1" w:rsidP="002B11B1">
      <w:pPr>
        <w:rPr>
          <w:lang w:val="es-ES_tradnl" w:eastAsia="es-ES"/>
        </w:rPr>
      </w:pPr>
    </w:p>
    <w:p w:rsidR="006C6300" w:rsidRDefault="006C6300" w:rsidP="006C6300">
      <w:pPr>
        <w:jc w:val="center"/>
        <w:rPr>
          <w:lang w:val="es-ES_tradnl" w:eastAsia="es-ES"/>
        </w:rPr>
      </w:pPr>
    </w:p>
    <w:p w:rsidR="006C6300" w:rsidRDefault="006C6300" w:rsidP="006C6300">
      <w:pPr>
        <w:jc w:val="center"/>
        <w:rPr>
          <w:lang w:val="es-ES_tradnl" w:eastAsia="es-ES"/>
        </w:rPr>
      </w:pPr>
    </w:p>
    <w:p w:rsidR="006C6300" w:rsidRDefault="006C6300" w:rsidP="006C6300">
      <w:pPr>
        <w:jc w:val="center"/>
        <w:rPr>
          <w:lang w:val="es-ES_tradnl" w:eastAsia="es-ES"/>
        </w:rPr>
      </w:pPr>
    </w:p>
    <w:p w:rsidR="006C6300" w:rsidRDefault="006C6300" w:rsidP="006C6300">
      <w:pPr>
        <w:jc w:val="center"/>
        <w:rPr>
          <w:lang w:val="es-ES_tradnl" w:eastAsia="es-ES"/>
        </w:rPr>
      </w:pPr>
    </w:p>
    <w:p w:rsidR="006C6300" w:rsidRDefault="006C6300" w:rsidP="006C6300">
      <w:pPr>
        <w:jc w:val="center"/>
        <w:rPr>
          <w:lang w:val="es-ES_tradnl" w:eastAsia="es-ES"/>
        </w:rPr>
      </w:pPr>
    </w:p>
    <w:p w:rsidR="006C6300" w:rsidRDefault="006C6300" w:rsidP="006C6300">
      <w:pPr>
        <w:jc w:val="center"/>
        <w:rPr>
          <w:lang w:val="es-ES_tradnl" w:eastAsia="es-ES"/>
        </w:rPr>
      </w:pPr>
    </w:p>
    <w:p w:rsidR="006C6300" w:rsidRDefault="006C6300" w:rsidP="006C6300">
      <w:pPr>
        <w:jc w:val="center"/>
        <w:rPr>
          <w:lang w:val="es-ES_tradnl" w:eastAsia="es-ES"/>
        </w:rPr>
      </w:pPr>
    </w:p>
    <w:p w:rsidR="006C6300" w:rsidRDefault="006C6300" w:rsidP="006C6300">
      <w:pPr>
        <w:jc w:val="center"/>
        <w:rPr>
          <w:lang w:val="es-ES_tradnl" w:eastAsia="es-ES"/>
        </w:rPr>
      </w:pPr>
    </w:p>
    <w:p w:rsidR="006C6300" w:rsidRDefault="006C6300" w:rsidP="006C6300">
      <w:pPr>
        <w:jc w:val="center"/>
        <w:rPr>
          <w:lang w:val="es-ES_tradnl" w:eastAsia="es-ES"/>
        </w:rPr>
      </w:pPr>
    </w:p>
    <w:p w:rsidR="006C6300" w:rsidRDefault="006C6300" w:rsidP="006C6300">
      <w:pPr>
        <w:jc w:val="center"/>
        <w:rPr>
          <w:lang w:val="es-ES_tradnl" w:eastAsia="es-ES"/>
        </w:rPr>
      </w:pPr>
    </w:p>
    <w:p w:rsidR="006C6300" w:rsidRDefault="006C6300" w:rsidP="006C6300">
      <w:pPr>
        <w:jc w:val="center"/>
        <w:rPr>
          <w:lang w:val="es-ES_tradnl" w:eastAsia="es-ES"/>
        </w:rPr>
      </w:pPr>
    </w:p>
    <w:p w:rsidR="006C6300" w:rsidRDefault="006C6300" w:rsidP="006C6300">
      <w:pPr>
        <w:jc w:val="center"/>
        <w:rPr>
          <w:lang w:val="es-ES_tradnl" w:eastAsia="es-ES"/>
        </w:rPr>
      </w:pPr>
    </w:p>
    <w:p w:rsidR="006C6300" w:rsidRDefault="006C6300" w:rsidP="006C6300">
      <w:pPr>
        <w:jc w:val="center"/>
        <w:rPr>
          <w:lang w:val="es-ES_tradnl" w:eastAsia="es-ES"/>
        </w:rPr>
      </w:pPr>
    </w:p>
    <w:p w:rsidR="006C6300" w:rsidRDefault="006C6300" w:rsidP="006C6300">
      <w:pPr>
        <w:jc w:val="center"/>
        <w:rPr>
          <w:lang w:val="es-ES_tradnl" w:eastAsia="es-ES"/>
        </w:rPr>
      </w:pPr>
    </w:p>
    <w:p w:rsidR="006C6300" w:rsidRDefault="006C6300" w:rsidP="006C6300">
      <w:pPr>
        <w:jc w:val="center"/>
        <w:rPr>
          <w:lang w:val="es-ES_tradnl" w:eastAsia="es-ES"/>
        </w:rPr>
      </w:pPr>
    </w:p>
    <w:p w:rsidR="006C6300" w:rsidRDefault="006C6300" w:rsidP="006C6300">
      <w:pPr>
        <w:jc w:val="center"/>
        <w:rPr>
          <w:lang w:val="es-ES_tradnl" w:eastAsia="es-ES"/>
        </w:rPr>
      </w:pPr>
    </w:p>
    <w:p w:rsidR="002B11B1" w:rsidRPr="006C6300" w:rsidRDefault="002B11B1" w:rsidP="006C6300">
      <w:pPr>
        <w:jc w:val="both"/>
        <w:rPr>
          <w:rFonts w:asciiTheme="majorHAnsi" w:hAnsiTheme="majorHAnsi"/>
          <w:lang w:val="es-ES_tradnl" w:eastAsia="es-ES"/>
        </w:rPr>
      </w:pPr>
      <w:r w:rsidRPr="006C6300">
        <w:rPr>
          <w:rFonts w:asciiTheme="majorHAnsi" w:hAnsiTheme="majorHAnsi"/>
          <w:lang w:val="es-ES_tradnl" w:eastAsia="es-ES"/>
        </w:rPr>
        <w:t>Resulta bastante sorprendente la existencia de 2.651 sustitutos en Cataluña, a pesar de que la Ley de Ordenación Farmacéutica de esta región especifica que se trata de supuestos de carácter temporal. Y también el bajo número de sustitutos en Baleares, Cantabria o Navarra, ya que ni siquiera son suficientes para los cargos colegiales o sindicales.</w:t>
      </w:r>
    </w:p>
    <w:p w:rsidR="006C6300" w:rsidRDefault="006C6300" w:rsidP="006C6300">
      <w:pPr>
        <w:jc w:val="both"/>
        <w:rPr>
          <w:lang w:val="es-ES_tradnl" w:eastAsia="es-ES"/>
        </w:rPr>
      </w:pPr>
    </w:p>
    <w:p w:rsidR="006C6300" w:rsidRPr="006C6300" w:rsidRDefault="006C6300" w:rsidP="006C6300">
      <w:pPr>
        <w:jc w:val="both"/>
        <w:rPr>
          <w:rFonts w:asciiTheme="majorHAnsi" w:hAnsiTheme="majorHAnsi"/>
          <w:b/>
          <w:color w:val="00B050"/>
          <w:sz w:val="32"/>
          <w:lang w:val="es-ES_tradnl" w:eastAsia="es-ES"/>
        </w:rPr>
      </w:pPr>
      <w:r w:rsidRPr="006C6300">
        <w:rPr>
          <w:rFonts w:asciiTheme="majorHAnsi" w:hAnsiTheme="majorHAnsi"/>
          <w:b/>
          <w:color w:val="00B050"/>
          <w:sz w:val="32"/>
          <w:lang w:val="es-ES_tradnl" w:eastAsia="es-ES"/>
        </w:rPr>
        <w:t>Cuáles son las causas de una mayor contratación de farmacéuticos en las distintas regiones.</w:t>
      </w:r>
    </w:p>
    <w:p w:rsidR="002B11B1" w:rsidRDefault="002B11B1" w:rsidP="002B11B1">
      <w:pPr>
        <w:rPr>
          <w:lang w:val="es-ES_tradnl" w:eastAsia="es-ES"/>
        </w:rPr>
      </w:pPr>
    </w:p>
    <w:p w:rsidR="006C6300" w:rsidRDefault="006C6300" w:rsidP="007B0321">
      <w:pPr>
        <w:jc w:val="both"/>
        <w:rPr>
          <w:rFonts w:asciiTheme="majorHAnsi" w:hAnsiTheme="majorHAnsi"/>
          <w:lang w:val="es-ES_tradnl" w:eastAsia="es-ES"/>
        </w:rPr>
      </w:pPr>
      <w:r w:rsidRPr="006C6300">
        <w:rPr>
          <w:rFonts w:asciiTheme="majorHAnsi" w:hAnsiTheme="majorHAnsi"/>
          <w:lang w:val="es-ES_tradnl" w:eastAsia="es-ES"/>
        </w:rPr>
        <w:t>En primer</w:t>
      </w:r>
      <w:r>
        <w:rPr>
          <w:rFonts w:asciiTheme="majorHAnsi" w:hAnsiTheme="majorHAnsi"/>
          <w:lang w:val="es-ES_tradnl" w:eastAsia="es-ES"/>
        </w:rPr>
        <w:t xml:space="preserve"> lugar hay que tomar en consideración el número de habitantes por farmacia que condiciona su desarrollo económico.</w:t>
      </w:r>
      <w:r w:rsidR="00053EEA">
        <w:rPr>
          <w:rFonts w:asciiTheme="majorHAnsi" w:hAnsiTheme="majorHAnsi"/>
          <w:lang w:val="es-ES_tradnl" w:eastAsia="es-ES"/>
        </w:rPr>
        <w:t xml:space="preserve"> </w:t>
      </w:r>
    </w:p>
    <w:p w:rsidR="007B0321" w:rsidRDefault="007B0321" w:rsidP="007B0321">
      <w:pPr>
        <w:jc w:val="both"/>
        <w:rPr>
          <w:rFonts w:asciiTheme="majorHAnsi" w:hAnsiTheme="majorHAnsi"/>
          <w:lang w:val="es-ES_tradnl" w:eastAsia="es-ES"/>
        </w:rPr>
      </w:pPr>
    </w:p>
    <w:p w:rsidR="007B0321" w:rsidRDefault="007B0321" w:rsidP="007B0321">
      <w:pPr>
        <w:jc w:val="both"/>
        <w:rPr>
          <w:rFonts w:asciiTheme="majorHAnsi" w:hAnsiTheme="majorHAnsi"/>
          <w:lang w:val="es-ES_tradnl" w:eastAsia="es-ES"/>
        </w:rPr>
      </w:pPr>
      <w:r>
        <w:rPr>
          <w:rFonts w:asciiTheme="majorHAnsi" w:hAnsiTheme="majorHAnsi"/>
          <w:lang w:val="es-ES_tradnl" w:eastAsia="es-ES"/>
        </w:rPr>
        <w:t xml:space="preserve">Aquí podemos alcanzar una primera conclusión: </w:t>
      </w:r>
      <w:r w:rsidRPr="0014043A">
        <w:rPr>
          <w:rFonts w:asciiTheme="majorHAnsi" w:hAnsiTheme="majorHAnsi"/>
          <w:b/>
          <w:lang w:val="es-ES_tradnl" w:eastAsia="es-ES"/>
        </w:rPr>
        <w:t>La Ordenación Farmacéutica condiciona el empleo en el sector.</w:t>
      </w:r>
      <w:r>
        <w:rPr>
          <w:rFonts w:asciiTheme="majorHAnsi" w:hAnsiTheme="majorHAnsi"/>
          <w:lang w:val="es-ES_tradnl" w:eastAsia="es-ES"/>
        </w:rPr>
        <w:t xml:space="preserve"> Las leyes de Ordenación permisivas en la apertura de nuevas farmacias por debajo del módulo de 2.800 habitantes tienen como consecuencia una menor contratación de farmacéuticos adjuntos, sustitutos u otras categorías.</w:t>
      </w:r>
    </w:p>
    <w:p w:rsidR="007B0321" w:rsidRDefault="007B0321" w:rsidP="007B0321">
      <w:pPr>
        <w:jc w:val="both"/>
        <w:rPr>
          <w:rFonts w:asciiTheme="majorHAnsi" w:hAnsiTheme="majorHAnsi"/>
          <w:lang w:val="es-ES_tradnl" w:eastAsia="es-ES"/>
        </w:rPr>
      </w:pPr>
    </w:p>
    <w:p w:rsidR="007B0321" w:rsidRDefault="007B0321" w:rsidP="007B0321">
      <w:pPr>
        <w:jc w:val="both"/>
        <w:rPr>
          <w:rFonts w:asciiTheme="majorHAnsi" w:hAnsiTheme="majorHAnsi"/>
          <w:lang w:val="es-ES_tradnl" w:eastAsia="es-ES"/>
        </w:rPr>
      </w:pPr>
      <w:r w:rsidRPr="0014043A">
        <w:rPr>
          <w:rFonts w:asciiTheme="majorHAnsi" w:hAnsiTheme="majorHAnsi"/>
          <w:b/>
          <w:lang w:val="es-ES_tradnl" w:eastAsia="es-ES"/>
        </w:rPr>
        <w:t>La otra consideración a tener en cuenta es la forma en que las distintas leyes de ordenación establecen la obligatoriedad de la presencia del farmacéutico.</w:t>
      </w:r>
      <w:r>
        <w:rPr>
          <w:rFonts w:asciiTheme="majorHAnsi" w:hAnsiTheme="majorHAnsi"/>
          <w:lang w:val="es-ES_tradnl" w:eastAsia="es-ES"/>
        </w:rPr>
        <w:t xml:space="preserve"> La presencia y actuación profesional del farmacéutico es imprescindible en todas las leyes de Ordenación, aunque la mayor parte de ellas se refieren a la presencia de “Un Farmacéutico” o de forma genérica “El Farmacéutico”, </w:t>
      </w:r>
      <w:r w:rsidR="00053EEA">
        <w:rPr>
          <w:rFonts w:asciiTheme="majorHAnsi" w:hAnsiTheme="majorHAnsi"/>
          <w:lang w:val="es-ES_tradnl" w:eastAsia="es-ES"/>
        </w:rPr>
        <w:t>solo algunas leyes se refieren a la presencia del Titular en horario de apertura normal o el horario mínimo, o bien, como en Canarias la presencia de un titular o cotitular.</w:t>
      </w:r>
      <w:r w:rsidR="0053624E">
        <w:rPr>
          <w:rFonts w:asciiTheme="majorHAnsi" w:hAnsiTheme="majorHAnsi"/>
          <w:lang w:val="es-ES_tradnl" w:eastAsia="es-ES"/>
        </w:rPr>
        <w:t xml:space="preserve"> La nueva ley de Galicia</w:t>
      </w:r>
      <w:r w:rsidR="00BE58B9">
        <w:rPr>
          <w:rFonts w:asciiTheme="majorHAnsi" w:hAnsiTheme="majorHAnsi"/>
          <w:lang w:val="es-ES_tradnl" w:eastAsia="es-ES"/>
        </w:rPr>
        <w:t>, ha sido modificada por la intervención de FEFGA y permitirá que, como en el texto anterior, haya una importante contratación de farmacéuticos</w:t>
      </w:r>
      <w:r w:rsidR="0053624E">
        <w:rPr>
          <w:rFonts w:asciiTheme="majorHAnsi" w:hAnsiTheme="majorHAnsi"/>
          <w:lang w:val="es-ES_tradnl" w:eastAsia="es-ES"/>
        </w:rPr>
        <w:t>.</w:t>
      </w:r>
    </w:p>
    <w:p w:rsidR="002A666B" w:rsidRDefault="002A666B" w:rsidP="002A666B">
      <w:pPr>
        <w:jc w:val="both"/>
        <w:rPr>
          <w:rFonts w:asciiTheme="majorHAnsi" w:hAnsiTheme="majorHAnsi"/>
          <w:b/>
          <w:sz w:val="28"/>
          <w:lang w:val="es-ES_tradnl" w:eastAsia="es-ES"/>
        </w:rPr>
      </w:pPr>
    </w:p>
    <w:p w:rsidR="002A666B" w:rsidRDefault="002A666B" w:rsidP="002A666B">
      <w:pPr>
        <w:jc w:val="both"/>
        <w:rPr>
          <w:rFonts w:asciiTheme="majorHAnsi" w:hAnsiTheme="majorHAnsi"/>
          <w:b/>
          <w:sz w:val="28"/>
          <w:lang w:val="es-ES_tradnl" w:eastAsia="es-ES"/>
        </w:rPr>
      </w:pPr>
    </w:p>
    <w:p w:rsidR="002A666B" w:rsidRDefault="002A666B" w:rsidP="002A666B">
      <w:pPr>
        <w:jc w:val="both"/>
        <w:rPr>
          <w:rFonts w:asciiTheme="majorHAnsi" w:hAnsiTheme="majorHAnsi"/>
          <w:lang w:val="es-ES_tradnl" w:eastAsia="es-ES"/>
        </w:rPr>
      </w:pPr>
      <w:r>
        <w:rPr>
          <w:rFonts w:asciiTheme="majorHAnsi" w:hAnsiTheme="majorHAnsi"/>
          <w:lang w:val="es-ES_tradnl" w:eastAsia="es-ES"/>
        </w:rPr>
        <w:t xml:space="preserve">En la siguiente tabla, parece claro, aunque con alguna excepción, que el número de farmacéuticos contratados en las farmacias depende directamente del número de habitantes por farmacia. </w:t>
      </w:r>
    </w:p>
    <w:p w:rsidR="002A666B" w:rsidRDefault="002A666B" w:rsidP="002A666B">
      <w:pPr>
        <w:jc w:val="both"/>
        <w:rPr>
          <w:rFonts w:asciiTheme="majorHAnsi" w:hAnsiTheme="majorHAnsi"/>
          <w:b/>
          <w:sz w:val="28"/>
          <w:lang w:val="es-ES_tradnl" w:eastAsia="es-ES"/>
        </w:rPr>
      </w:pPr>
    </w:p>
    <w:p w:rsidR="006C6300" w:rsidRPr="0053624E" w:rsidRDefault="00053EEA" w:rsidP="0053624E">
      <w:pPr>
        <w:jc w:val="center"/>
        <w:rPr>
          <w:rFonts w:asciiTheme="majorHAnsi" w:hAnsiTheme="majorHAnsi"/>
          <w:b/>
          <w:sz w:val="28"/>
          <w:lang w:val="es-ES_tradnl" w:eastAsia="es-ES"/>
        </w:rPr>
      </w:pPr>
      <w:r w:rsidRPr="0053624E">
        <w:rPr>
          <w:rFonts w:asciiTheme="majorHAnsi" w:hAnsiTheme="majorHAnsi"/>
          <w:b/>
          <w:sz w:val="28"/>
          <w:lang w:val="es-ES_tradnl" w:eastAsia="es-ES"/>
        </w:rPr>
        <w:lastRenderedPageBreak/>
        <w:t>Regiones ordenadas por el número de habitantes/farmacia y farmacéuticos contratados.</w:t>
      </w:r>
    </w:p>
    <w:p w:rsidR="006C6300" w:rsidRDefault="006C6300" w:rsidP="002B11B1">
      <w:pPr>
        <w:rPr>
          <w:lang w:val="es-ES_tradnl" w:eastAsia="es-ES"/>
        </w:rPr>
      </w:pPr>
    </w:p>
    <w:tbl>
      <w:tblPr>
        <w:tblStyle w:val="Listaclara-nfasis3"/>
        <w:tblW w:w="5000" w:type="pct"/>
        <w:tblLook w:val="04A0" w:firstRow="1" w:lastRow="0" w:firstColumn="1" w:lastColumn="0" w:noHBand="0" w:noVBand="1"/>
      </w:tblPr>
      <w:tblGrid>
        <w:gridCol w:w="2653"/>
        <w:gridCol w:w="1094"/>
        <w:gridCol w:w="1100"/>
        <w:gridCol w:w="1175"/>
        <w:gridCol w:w="1351"/>
        <w:gridCol w:w="1445"/>
      </w:tblGrid>
      <w:tr w:rsidR="006C6300" w:rsidRPr="00BE58B9" w:rsidTr="002A666B">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22" w:type="pct"/>
            <w:noWrap/>
            <w:vAlign w:val="center"/>
            <w:hideMark/>
          </w:tcPr>
          <w:p w:rsidR="006C6300" w:rsidRPr="007B0321" w:rsidRDefault="006C6300" w:rsidP="002A66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Calibri"/>
                <w:color w:val="000000"/>
                <w:sz w:val="20"/>
                <w:szCs w:val="22"/>
                <w:bdr w:val="none" w:sz="0" w:space="0" w:color="auto"/>
                <w:lang w:val="es-ES" w:eastAsia="es-ES"/>
              </w:rPr>
            </w:pPr>
          </w:p>
        </w:tc>
        <w:tc>
          <w:tcPr>
            <w:tcW w:w="638" w:type="pct"/>
            <w:vAlign w:val="center"/>
            <w:hideMark/>
          </w:tcPr>
          <w:p w:rsidR="006C6300" w:rsidRPr="007B0321" w:rsidRDefault="006C6300" w:rsidP="002A666B">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Nº Farmacias</w:t>
            </w:r>
          </w:p>
        </w:tc>
        <w:tc>
          <w:tcPr>
            <w:tcW w:w="591" w:type="pct"/>
            <w:noWrap/>
            <w:vAlign w:val="center"/>
            <w:hideMark/>
          </w:tcPr>
          <w:p w:rsidR="006C6300" w:rsidRPr="007B0321" w:rsidRDefault="006C6300" w:rsidP="002A666B">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Habitantes</w:t>
            </w:r>
          </w:p>
        </w:tc>
        <w:tc>
          <w:tcPr>
            <w:tcW w:w="684" w:type="pct"/>
            <w:vAlign w:val="center"/>
            <w:hideMark/>
          </w:tcPr>
          <w:p w:rsidR="006C6300" w:rsidRPr="007B0321" w:rsidRDefault="006C6300" w:rsidP="002A666B">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Habitantes/ Farmacia</w:t>
            </w:r>
          </w:p>
        </w:tc>
        <w:tc>
          <w:tcPr>
            <w:tcW w:w="728" w:type="pct"/>
            <w:vAlign w:val="center"/>
            <w:hideMark/>
          </w:tcPr>
          <w:p w:rsidR="006C6300" w:rsidRPr="007B0321" w:rsidRDefault="006C6300" w:rsidP="002A666B">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Total de farmacéuticos</w:t>
            </w:r>
          </w:p>
          <w:p w:rsidR="006C6300" w:rsidRPr="007B0321" w:rsidRDefault="006C6300" w:rsidP="002A666B">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No titulares</w:t>
            </w:r>
          </w:p>
        </w:tc>
        <w:tc>
          <w:tcPr>
            <w:tcW w:w="838" w:type="pct"/>
            <w:vAlign w:val="center"/>
            <w:hideMark/>
          </w:tcPr>
          <w:p w:rsidR="006C6300" w:rsidRPr="007B0321" w:rsidRDefault="006C6300" w:rsidP="002A666B">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Farmacéuticos contratados</w:t>
            </w:r>
            <w:r w:rsidR="002A666B">
              <w:rPr>
                <w:rFonts w:asciiTheme="majorHAnsi" w:eastAsia="Times New Roman" w:hAnsiTheme="majorHAnsi" w:cs="Calibri"/>
                <w:color w:val="000000"/>
                <w:sz w:val="20"/>
                <w:szCs w:val="22"/>
                <w:bdr w:val="none" w:sz="0" w:space="0" w:color="auto"/>
                <w:lang w:val="es-ES" w:eastAsia="es-ES"/>
              </w:rPr>
              <w:t xml:space="preserve"> en cada Farmacia</w:t>
            </w:r>
          </w:p>
        </w:tc>
      </w:tr>
      <w:tr w:rsidR="006C6300" w:rsidRPr="007B0321" w:rsidTr="006C6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Melilla</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22</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86.026</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3</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910</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32</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1,45</w:t>
            </w:r>
          </w:p>
        </w:tc>
      </w:tr>
      <w:tr w:rsidR="006C6300" w:rsidRPr="007B0321" w:rsidTr="006C6300">
        <w:trPr>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Ceuta</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24</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84.519</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3</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522</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30</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1,25</w:t>
            </w:r>
          </w:p>
        </w:tc>
      </w:tr>
      <w:tr w:rsidR="006C6300" w:rsidRPr="007B0321" w:rsidTr="006C6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Canarias</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762</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2.101.924</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758</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1332</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1,75</w:t>
            </w:r>
          </w:p>
        </w:tc>
      </w:tr>
      <w:tr w:rsidR="006C6300" w:rsidRPr="007B0321" w:rsidTr="006C6300">
        <w:trPr>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País Vasco</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832</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2.189.534</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632</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1569</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1,89</w:t>
            </w:r>
          </w:p>
        </w:tc>
      </w:tr>
      <w:tr w:rsidR="006C6300" w:rsidRPr="007B0321" w:rsidTr="006C6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Murcia</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568</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1.464.847</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579</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763</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1,34</w:t>
            </w:r>
          </w:p>
        </w:tc>
      </w:tr>
      <w:tr w:rsidR="006C6300" w:rsidRPr="007B0321" w:rsidTr="006C6300">
        <w:trPr>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Baleares</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438</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1.107.220</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528</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351</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0,80</w:t>
            </w:r>
          </w:p>
        </w:tc>
      </w:tr>
      <w:tr w:rsidR="006C6300" w:rsidRPr="007B0321" w:rsidTr="006C6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Cataluña</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3.196</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7.522.596</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354</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3631</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1,14</w:t>
            </w:r>
          </w:p>
        </w:tc>
      </w:tr>
      <w:tr w:rsidR="006C6300" w:rsidRPr="007B0321" w:rsidTr="006C6300">
        <w:trPr>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Cantabria</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253</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582.206</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301</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270</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1,07</w:t>
            </w:r>
          </w:p>
        </w:tc>
      </w:tr>
      <w:tr w:rsidR="006C6300" w:rsidRPr="007B0321" w:rsidTr="006C6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Asturias</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455</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1.042.608</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291</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565</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1,24</w:t>
            </w:r>
          </w:p>
        </w:tc>
      </w:tr>
      <w:tr w:rsidR="006C6300" w:rsidRPr="007B0321" w:rsidTr="006C6300">
        <w:trPr>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Madrid</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2.861</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6.466.996</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260</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5115</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1,79</w:t>
            </w:r>
          </w:p>
        </w:tc>
      </w:tr>
      <w:tr w:rsidR="006C6300" w:rsidRPr="007B0321" w:rsidTr="006C6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Andalucía</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3.878</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8.388.107</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163</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4272</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1,10</w:t>
            </w:r>
          </w:p>
        </w:tc>
      </w:tr>
      <w:tr w:rsidR="006C6300" w:rsidRPr="007B0321" w:rsidTr="006C6300">
        <w:trPr>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C. Valenciana</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2.358</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4.959.968</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103</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2209</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0,94</w:t>
            </w:r>
          </w:p>
        </w:tc>
      </w:tr>
      <w:tr w:rsidR="006C6300" w:rsidRPr="007B0321" w:rsidTr="006C6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Rioja</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156</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315.794</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024</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152</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0,97</w:t>
            </w:r>
          </w:p>
        </w:tc>
      </w:tr>
      <w:tr w:rsidR="006C6300" w:rsidRPr="007B0321" w:rsidTr="006C6300">
        <w:trPr>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Galicia</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1.344</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2.718.525</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023</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2129</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1,58</w:t>
            </w:r>
          </w:p>
        </w:tc>
      </w:tr>
      <w:tr w:rsidR="006C6300" w:rsidRPr="007B0321" w:rsidTr="006C6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Aragón</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734</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1.308.563</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783</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481</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0,66</w:t>
            </w:r>
          </w:p>
        </w:tc>
      </w:tr>
      <w:tr w:rsidR="006C6300" w:rsidRPr="007B0321" w:rsidTr="006C6300">
        <w:trPr>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Extremadura</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671</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1.087.778</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621</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343</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0,51</w:t>
            </w:r>
          </w:p>
        </w:tc>
      </w:tr>
      <w:tr w:rsidR="006C6300" w:rsidRPr="007B0321" w:rsidTr="006C6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Castilla La Mancha</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1.265</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2.041.631</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614</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775</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0,61</w:t>
            </w:r>
          </w:p>
        </w:tc>
      </w:tr>
      <w:tr w:rsidR="006C6300" w:rsidRPr="007B0321" w:rsidTr="006C6300">
        <w:trPr>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Castilla y León</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1.628</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2.447.519</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503</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1205</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0,74</w:t>
            </w:r>
          </w:p>
        </w:tc>
      </w:tr>
      <w:tr w:rsidR="006C6300" w:rsidRPr="007B0321" w:rsidTr="006C6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2"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Navarra</w:t>
            </w:r>
          </w:p>
        </w:tc>
        <w:tc>
          <w:tcPr>
            <w:tcW w:w="6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601</w:t>
            </w:r>
          </w:p>
        </w:tc>
        <w:tc>
          <w:tcPr>
            <w:tcW w:w="591"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szCs w:val="18"/>
                <w:bdr w:val="none" w:sz="0" w:space="0" w:color="auto"/>
                <w:lang w:val="es-ES" w:eastAsia="es-ES"/>
              </w:rPr>
            </w:pPr>
            <w:r w:rsidRPr="007B0321">
              <w:rPr>
                <w:rFonts w:asciiTheme="majorHAnsi" w:eastAsia="Times New Roman" w:hAnsiTheme="majorHAnsi" w:cs="Arial"/>
                <w:color w:val="000000"/>
                <w:sz w:val="20"/>
                <w:szCs w:val="18"/>
                <w:bdr w:val="none" w:sz="0" w:space="0" w:color="auto"/>
                <w:lang w:val="es-ES" w:eastAsia="es-ES"/>
              </w:rPr>
              <w:t>640.647</w:t>
            </w:r>
          </w:p>
        </w:tc>
        <w:tc>
          <w:tcPr>
            <w:tcW w:w="684"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1</w:t>
            </w:r>
            <w:r w:rsidR="007B0321" w:rsidRPr="007B0321">
              <w:rPr>
                <w:rFonts w:asciiTheme="majorHAnsi" w:eastAsia="Times New Roman" w:hAnsiTheme="majorHAnsi" w:cs="Calibri"/>
                <w:color w:val="000000"/>
                <w:sz w:val="20"/>
                <w:szCs w:val="22"/>
                <w:bdr w:val="none" w:sz="0" w:space="0" w:color="auto"/>
                <w:lang w:val="es-ES" w:eastAsia="es-ES"/>
              </w:rPr>
              <w:t>.</w:t>
            </w:r>
            <w:r w:rsidRPr="007B0321">
              <w:rPr>
                <w:rFonts w:asciiTheme="majorHAnsi" w:eastAsia="Times New Roman" w:hAnsiTheme="majorHAnsi" w:cs="Calibri"/>
                <w:color w:val="000000"/>
                <w:sz w:val="20"/>
                <w:szCs w:val="22"/>
                <w:bdr w:val="none" w:sz="0" w:space="0" w:color="auto"/>
                <w:lang w:val="es-ES" w:eastAsia="es-ES"/>
              </w:rPr>
              <w:t>066</w:t>
            </w:r>
          </w:p>
        </w:tc>
        <w:tc>
          <w:tcPr>
            <w:tcW w:w="72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465</w:t>
            </w:r>
          </w:p>
        </w:tc>
        <w:tc>
          <w:tcPr>
            <w:tcW w:w="838" w:type="pct"/>
            <w:noWrap/>
            <w:hideMark/>
          </w:tcPr>
          <w:p w:rsidR="006C6300" w:rsidRPr="007B0321" w:rsidRDefault="006C6300" w:rsidP="006C6300">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2"/>
                <w:bdr w:val="none" w:sz="0" w:space="0" w:color="auto"/>
                <w:lang w:val="es-ES" w:eastAsia="es-ES"/>
              </w:rPr>
            </w:pPr>
            <w:r w:rsidRPr="007B0321">
              <w:rPr>
                <w:rFonts w:asciiTheme="majorHAnsi" w:eastAsia="Times New Roman" w:hAnsiTheme="majorHAnsi" w:cs="Calibri"/>
                <w:color w:val="000000"/>
                <w:sz w:val="20"/>
                <w:szCs w:val="22"/>
                <w:bdr w:val="none" w:sz="0" w:space="0" w:color="auto"/>
                <w:lang w:val="es-ES" w:eastAsia="es-ES"/>
              </w:rPr>
              <w:t>0,77</w:t>
            </w:r>
          </w:p>
        </w:tc>
      </w:tr>
    </w:tbl>
    <w:p w:rsidR="002B11B1" w:rsidRPr="002B11B1" w:rsidRDefault="002B11B1" w:rsidP="002B11B1">
      <w:pPr>
        <w:rPr>
          <w:lang w:val="es-ES_tradnl" w:eastAsia="es-ES"/>
        </w:rPr>
      </w:pPr>
    </w:p>
    <w:p w:rsidR="002B11B1" w:rsidRPr="002B11B1" w:rsidRDefault="002B11B1" w:rsidP="002B11B1">
      <w:pPr>
        <w:rPr>
          <w:lang w:val="es-ES_tradnl" w:eastAsia="es-ES"/>
        </w:rPr>
      </w:pPr>
    </w:p>
    <w:p w:rsidR="002B11B1" w:rsidRDefault="002A666B" w:rsidP="002B11B1">
      <w:pPr>
        <w:rPr>
          <w:b/>
          <w:color w:val="00B050"/>
          <w:sz w:val="28"/>
          <w:lang w:val="es-ES_tradnl" w:eastAsia="es-ES"/>
        </w:rPr>
      </w:pPr>
      <w:r w:rsidRPr="002A666B">
        <w:rPr>
          <w:b/>
          <w:color w:val="00B050"/>
          <w:sz w:val="28"/>
          <w:lang w:val="es-ES_tradnl" w:eastAsia="es-ES"/>
        </w:rPr>
        <w:t>Conclusiones:</w:t>
      </w:r>
    </w:p>
    <w:p w:rsidR="002A666B" w:rsidRDefault="002A666B" w:rsidP="002B11B1">
      <w:pPr>
        <w:rPr>
          <w:b/>
          <w:color w:val="00B050"/>
          <w:sz w:val="28"/>
          <w:lang w:val="es-ES_tradnl" w:eastAsia="es-ES"/>
        </w:rPr>
      </w:pPr>
    </w:p>
    <w:p w:rsidR="002A666B" w:rsidRPr="00FB3C9E" w:rsidRDefault="002A666B" w:rsidP="00E965B2">
      <w:pPr>
        <w:jc w:val="both"/>
        <w:rPr>
          <w:rFonts w:asciiTheme="minorHAnsi" w:hAnsiTheme="minorHAnsi"/>
          <w:lang w:val="es-ES_tradnl" w:eastAsia="es-ES"/>
        </w:rPr>
      </w:pPr>
      <w:r w:rsidRPr="00FB3C9E">
        <w:rPr>
          <w:rFonts w:asciiTheme="minorHAnsi" w:hAnsiTheme="minorHAnsi"/>
          <w:lang w:val="es-ES_tradnl" w:eastAsia="es-ES"/>
        </w:rPr>
        <w:t xml:space="preserve">Las 22.046 farmacias que existen en España contratan a más de </w:t>
      </w:r>
      <w:r w:rsidRPr="00FB3C9E">
        <w:rPr>
          <w:rFonts w:asciiTheme="minorHAnsi" w:eastAsia="Times New Roman" w:hAnsiTheme="minorHAnsi" w:cs="Calibri"/>
          <w:color w:val="000000"/>
          <w:sz w:val="22"/>
          <w:szCs w:val="22"/>
          <w:bdr w:val="none" w:sz="0" w:space="0" w:color="auto"/>
          <w:lang w:val="es-ES" w:eastAsia="es-ES"/>
        </w:rPr>
        <w:t xml:space="preserve">25.689 farmacéuticos aparte de sus titulares o cotitulares. </w:t>
      </w:r>
      <w:r w:rsidR="00E965B2" w:rsidRPr="00FB3C9E">
        <w:rPr>
          <w:rFonts w:asciiTheme="minorHAnsi" w:eastAsia="Times New Roman" w:hAnsiTheme="minorHAnsi" w:cs="Calibri"/>
          <w:color w:val="000000"/>
          <w:sz w:val="22"/>
          <w:szCs w:val="22"/>
          <w:bdr w:val="none" w:sz="0" w:space="0" w:color="auto"/>
          <w:lang w:val="es-ES" w:eastAsia="es-ES"/>
        </w:rPr>
        <w:t>Como es sabido estos empleos son fundamentalmente femeninos y de calidad, ya que en su mayor parte son empleos fijos.</w:t>
      </w:r>
    </w:p>
    <w:p w:rsidR="002B11B1" w:rsidRPr="002B11B1" w:rsidRDefault="002B11B1" w:rsidP="00E965B2">
      <w:pPr>
        <w:jc w:val="both"/>
        <w:rPr>
          <w:lang w:val="es-ES_tradnl" w:eastAsia="es-ES"/>
        </w:rPr>
      </w:pPr>
    </w:p>
    <w:p w:rsidR="002B11B1" w:rsidRPr="00FB3C9E" w:rsidRDefault="002A666B" w:rsidP="0014043A">
      <w:pPr>
        <w:shd w:val="clear" w:color="auto" w:fill="C2D69B" w:themeFill="accent3" w:themeFillTint="99"/>
        <w:jc w:val="both"/>
        <w:rPr>
          <w:rFonts w:asciiTheme="minorHAnsi" w:hAnsiTheme="minorHAnsi"/>
          <w:lang w:val="es-ES_tradnl" w:eastAsia="es-ES"/>
        </w:rPr>
      </w:pPr>
      <w:r w:rsidRPr="0014043A">
        <w:rPr>
          <w:rFonts w:asciiTheme="minorHAnsi" w:hAnsiTheme="minorHAnsi"/>
          <w:b/>
          <w:lang w:val="es-ES_tradnl" w:eastAsia="es-ES"/>
        </w:rPr>
        <w:t>El nivel socioeconómico y un mayor número de habitantes por farmacia condicionan la contratación de un mayor número de farmacéuticos</w:t>
      </w:r>
      <w:r w:rsidR="00E965B2" w:rsidRPr="0014043A">
        <w:rPr>
          <w:rFonts w:asciiTheme="minorHAnsi" w:hAnsiTheme="minorHAnsi"/>
          <w:b/>
          <w:lang w:val="es-ES_tradnl" w:eastAsia="es-ES"/>
        </w:rPr>
        <w:t>,</w:t>
      </w:r>
      <w:r w:rsidR="00E965B2" w:rsidRPr="00FB3C9E">
        <w:rPr>
          <w:rFonts w:asciiTheme="minorHAnsi" w:hAnsiTheme="minorHAnsi"/>
          <w:lang w:val="es-ES_tradnl" w:eastAsia="es-ES"/>
        </w:rPr>
        <w:t xml:space="preserve"> pero esa contratación es muy dependiente también de la Ordenación Farmacéutica, tanto por el mantenimiento de un módulo elevado de habitantes por farmacia, como por la forma en que se aborde la presencia del farmacéutico en la dispensación.</w:t>
      </w:r>
      <w:r w:rsidRPr="00FB3C9E">
        <w:rPr>
          <w:rFonts w:asciiTheme="minorHAnsi" w:hAnsiTheme="minorHAnsi"/>
          <w:lang w:val="es-ES_tradnl" w:eastAsia="es-ES"/>
        </w:rPr>
        <w:t xml:space="preserve"> </w:t>
      </w:r>
    </w:p>
    <w:p w:rsidR="002B11B1" w:rsidRPr="002B11B1" w:rsidRDefault="002B11B1" w:rsidP="002B11B1">
      <w:pPr>
        <w:rPr>
          <w:lang w:val="es-ES_tradnl" w:eastAsia="es-ES"/>
        </w:rPr>
      </w:pPr>
    </w:p>
    <w:p w:rsidR="00E965B2" w:rsidRDefault="00E965B2" w:rsidP="00E965B2">
      <w:pPr>
        <w:pStyle w:val="Cuerpo"/>
        <w:jc w:val="both"/>
        <w:rPr>
          <w:b/>
          <w:color w:val="00B050"/>
          <w:sz w:val="32"/>
        </w:rPr>
      </w:pPr>
      <w:r w:rsidRPr="002A666B">
        <w:rPr>
          <w:b/>
          <w:color w:val="00B050"/>
          <w:sz w:val="32"/>
        </w:rPr>
        <w:t>Top Ten de medicamentos en unidades y valores en las farmacias en 20118.</w:t>
      </w:r>
    </w:p>
    <w:p w:rsidR="00E965B2" w:rsidRDefault="00E965B2" w:rsidP="00E965B2">
      <w:pPr>
        <w:pStyle w:val="Cuerpo"/>
        <w:jc w:val="both"/>
        <w:rPr>
          <w:b/>
          <w:color w:val="00B050"/>
          <w:sz w:val="32"/>
        </w:rPr>
      </w:pPr>
    </w:p>
    <w:p w:rsidR="00E965B2" w:rsidRDefault="00E965B2" w:rsidP="00E965B2">
      <w:pPr>
        <w:pStyle w:val="Cuerpo"/>
        <w:jc w:val="both"/>
        <w:rPr>
          <w:color w:val="auto"/>
        </w:rPr>
      </w:pPr>
      <w:r>
        <w:rPr>
          <w:color w:val="auto"/>
        </w:rPr>
        <w:t xml:space="preserve">Como en años anteriores ofrecemos el “ranking” de productos dispensados en las farmacias en unidades y valores PVP. </w:t>
      </w:r>
    </w:p>
    <w:p w:rsidR="00F33586" w:rsidRDefault="00F33586" w:rsidP="00E965B2">
      <w:pPr>
        <w:pStyle w:val="Cuerpo"/>
        <w:jc w:val="both"/>
        <w:rPr>
          <w:color w:val="auto"/>
        </w:rPr>
      </w:pPr>
    </w:p>
    <w:tbl>
      <w:tblPr>
        <w:tblStyle w:val="Cuadrculaclara-nfasis3"/>
        <w:tblW w:w="5000" w:type="pct"/>
        <w:tblLook w:val="04A0" w:firstRow="1" w:lastRow="0" w:firstColumn="1" w:lastColumn="0" w:noHBand="0" w:noVBand="1"/>
      </w:tblPr>
      <w:tblGrid>
        <w:gridCol w:w="1670"/>
        <w:gridCol w:w="1538"/>
        <w:gridCol w:w="1660"/>
        <w:gridCol w:w="888"/>
        <w:gridCol w:w="1304"/>
        <w:gridCol w:w="1758"/>
      </w:tblGrid>
      <w:tr w:rsidR="00F33586" w:rsidRPr="00F33586" w:rsidTr="00F3358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 xml:space="preserve">Primeros productos </w:t>
            </w:r>
          </w:p>
        </w:tc>
      </w:tr>
      <w:tr w:rsidR="00F33586" w:rsidRPr="00F33586" w:rsidTr="002B1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pct"/>
            <w:vMerge w:val="restar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Producto</w:t>
            </w:r>
          </w:p>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 </w:t>
            </w:r>
          </w:p>
        </w:tc>
        <w:tc>
          <w:tcPr>
            <w:tcW w:w="880" w:type="pct"/>
            <w:shd w:val="clear" w:color="auto" w:fill="9BBB59" w:themeFill="accent3"/>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 xml:space="preserve">Unidades </w:t>
            </w:r>
          </w:p>
        </w:tc>
        <w:tc>
          <w:tcPr>
            <w:tcW w:w="949" w:type="pct"/>
            <w:vMerge w:val="restar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Acción Terapéutica</w:t>
            </w:r>
          </w:p>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 </w:t>
            </w:r>
          </w:p>
        </w:tc>
        <w:tc>
          <w:tcPr>
            <w:tcW w:w="465" w:type="pct"/>
            <w:vMerge w:val="restar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Producto</w:t>
            </w:r>
          </w:p>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 </w:t>
            </w:r>
          </w:p>
        </w:tc>
        <w:tc>
          <w:tcPr>
            <w:tcW w:w="743" w:type="pct"/>
            <w:shd w:val="clear" w:color="auto" w:fill="9BBB59" w:themeFill="accent3"/>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Valores PVP</w:t>
            </w:r>
          </w:p>
        </w:tc>
        <w:tc>
          <w:tcPr>
            <w:tcW w:w="1008" w:type="pct"/>
            <w:vMerge w:val="restar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Acción Terapéutica</w:t>
            </w:r>
          </w:p>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 </w:t>
            </w:r>
          </w:p>
        </w:tc>
      </w:tr>
      <w:tr w:rsidR="00F33586" w:rsidRPr="00F33586" w:rsidTr="00F3358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pct"/>
            <w:vMerge/>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val="es-ES" w:eastAsia="es-ES"/>
              </w:rPr>
            </w:pPr>
          </w:p>
        </w:tc>
        <w:tc>
          <w:tcPr>
            <w:tcW w:w="880"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Millones Uds/año</w:t>
            </w:r>
          </w:p>
        </w:tc>
        <w:tc>
          <w:tcPr>
            <w:tcW w:w="949" w:type="pct"/>
            <w:vMerge/>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p>
        </w:tc>
        <w:tc>
          <w:tcPr>
            <w:tcW w:w="465" w:type="pct"/>
            <w:vMerge/>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p>
        </w:tc>
        <w:tc>
          <w:tcPr>
            <w:tcW w:w="743"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Millones € PVP</w:t>
            </w:r>
          </w:p>
        </w:tc>
        <w:tc>
          <w:tcPr>
            <w:tcW w:w="1008" w:type="pct"/>
            <w:vMerge/>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p>
        </w:tc>
      </w:tr>
      <w:tr w:rsidR="00F33586" w:rsidRPr="00F33586" w:rsidTr="00F335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Nolotil</w:t>
            </w:r>
          </w:p>
        </w:tc>
        <w:tc>
          <w:tcPr>
            <w:tcW w:w="880"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17,8</w:t>
            </w:r>
          </w:p>
        </w:tc>
        <w:tc>
          <w:tcPr>
            <w:tcW w:w="949"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Analgésico</w:t>
            </w:r>
          </w:p>
        </w:tc>
        <w:tc>
          <w:tcPr>
            <w:tcW w:w="46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22"/>
                <w:bdr w:val="none" w:sz="0" w:space="0" w:color="auto"/>
                <w:lang w:val="es-ES" w:eastAsia="es-ES"/>
              </w:rPr>
            </w:pPr>
            <w:r w:rsidRPr="00F33586">
              <w:rPr>
                <w:rFonts w:ascii="Calibri" w:eastAsia="Times New Roman" w:hAnsi="Calibri" w:cs="Calibri"/>
                <w:b/>
                <w:color w:val="000000"/>
                <w:sz w:val="18"/>
                <w:szCs w:val="22"/>
                <w:bdr w:val="none" w:sz="0" w:space="0" w:color="auto"/>
                <w:lang w:val="es-ES" w:eastAsia="es-ES"/>
              </w:rPr>
              <w:t>Clexane</w:t>
            </w:r>
          </w:p>
        </w:tc>
        <w:tc>
          <w:tcPr>
            <w:tcW w:w="743"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200,0</w:t>
            </w:r>
          </w:p>
        </w:tc>
        <w:tc>
          <w:tcPr>
            <w:tcW w:w="1008"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Anticoagulante</w:t>
            </w:r>
          </w:p>
        </w:tc>
      </w:tr>
      <w:tr w:rsidR="00F33586" w:rsidRPr="00F33586" w:rsidTr="00F3358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Enantyum</w:t>
            </w:r>
          </w:p>
        </w:tc>
        <w:tc>
          <w:tcPr>
            <w:tcW w:w="880"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13,6</w:t>
            </w:r>
          </w:p>
        </w:tc>
        <w:tc>
          <w:tcPr>
            <w:tcW w:w="949"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Analgésico</w:t>
            </w:r>
          </w:p>
        </w:tc>
        <w:tc>
          <w:tcPr>
            <w:tcW w:w="46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000000"/>
                <w:sz w:val="18"/>
                <w:szCs w:val="22"/>
                <w:bdr w:val="none" w:sz="0" w:space="0" w:color="auto"/>
                <w:lang w:val="es-ES" w:eastAsia="es-ES"/>
              </w:rPr>
            </w:pPr>
            <w:r w:rsidRPr="00F33586">
              <w:rPr>
                <w:rFonts w:ascii="Calibri" w:eastAsia="Times New Roman" w:hAnsi="Calibri" w:cs="Calibri"/>
                <w:b/>
                <w:color w:val="000000"/>
                <w:sz w:val="18"/>
                <w:szCs w:val="22"/>
                <w:bdr w:val="none" w:sz="0" w:space="0" w:color="auto"/>
                <w:lang w:val="es-ES" w:eastAsia="es-ES"/>
              </w:rPr>
              <w:t>Duodart</w:t>
            </w:r>
          </w:p>
        </w:tc>
        <w:tc>
          <w:tcPr>
            <w:tcW w:w="743"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146,1</w:t>
            </w:r>
          </w:p>
        </w:tc>
        <w:tc>
          <w:tcPr>
            <w:tcW w:w="1008"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Retención urinaria</w:t>
            </w:r>
          </w:p>
        </w:tc>
      </w:tr>
      <w:tr w:rsidR="00F33586" w:rsidRPr="00F33586" w:rsidTr="00F335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Adiro</w:t>
            </w:r>
          </w:p>
        </w:tc>
        <w:tc>
          <w:tcPr>
            <w:tcW w:w="880"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13,1</w:t>
            </w:r>
          </w:p>
        </w:tc>
        <w:tc>
          <w:tcPr>
            <w:tcW w:w="949"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Antiagregante</w:t>
            </w:r>
          </w:p>
        </w:tc>
        <w:tc>
          <w:tcPr>
            <w:tcW w:w="46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22"/>
                <w:bdr w:val="none" w:sz="0" w:space="0" w:color="auto"/>
                <w:lang w:val="es-ES" w:eastAsia="es-ES"/>
              </w:rPr>
            </w:pPr>
            <w:r w:rsidRPr="00F33586">
              <w:rPr>
                <w:rFonts w:ascii="Calibri" w:eastAsia="Times New Roman" w:hAnsi="Calibri" w:cs="Calibri"/>
                <w:b/>
                <w:color w:val="000000"/>
                <w:sz w:val="18"/>
                <w:szCs w:val="22"/>
                <w:bdr w:val="none" w:sz="0" w:space="0" w:color="auto"/>
                <w:lang w:val="es-ES" w:eastAsia="es-ES"/>
              </w:rPr>
              <w:t>Eliquis</w:t>
            </w:r>
          </w:p>
        </w:tc>
        <w:tc>
          <w:tcPr>
            <w:tcW w:w="743"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142,4</w:t>
            </w:r>
          </w:p>
        </w:tc>
        <w:tc>
          <w:tcPr>
            <w:tcW w:w="1008"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Anticoagulante</w:t>
            </w:r>
          </w:p>
        </w:tc>
      </w:tr>
      <w:tr w:rsidR="00F33586" w:rsidRPr="00F33586" w:rsidTr="00F3358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Paracetamol Kern</w:t>
            </w:r>
          </w:p>
        </w:tc>
        <w:tc>
          <w:tcPr>
            <w:tcW w:w="880"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12,8</w:t>
            </w:r>
          </w:p>
        </w:tc>
        <w:tc>
          <w:tcPr>
            <w:tcW w:w="949"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Analgésico</w:t>
            </w:r>
          </w:p>
        </w:tc>
        <w:tc>
          <w:tcPr>
            <w:tcW w:w="46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000000"/>
                <w:sz w:val="18"/>
                <w:szCs w:val="22"/>
                <w:bdr w:val="none" w:sz="0" w:space="0" w:color="auto"/>
                <w:lang w:val="es-ES" w:eastAsia="es-ES"/>
              </w:rPr>
            </w:pPr>
            <w:r w:rsidRPr="00F33586">
              <w:rPr>
                <w:rFonts w:ascii="Calibri" w:eastAsia="Times New Roman" w:hAnsi="Calibri" w:cs="Calibri"/>
                <w:b/>
                <w:color w:val="000000"/>
                <w:sz w:val="18"/>
                <w:szCs w:val="22"/>
                <w:bdr w:val="none" w:sz="0" w:space="0" w:color="auto"/>
                <w:lang w:val="es-ES" w:eastAsia="es-ES"/>
              </w:rPr>
              <w:t>Spiriva</w:t>
            </w:r>
          </w:p>
        </w:tc>
        <w:tc>
          <w:tcPr>
            <w:tcW w:w="743"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135,3</w:t>
            </w:r>
          </w:p>
        </w:tc>
        <w:tc>
          <w:tcPr>
            <w:tcW w:w="1008"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Broncodilatador</w:t>
            </w:r>
          </w:p>
        </w:tc>
      </w:tr>
      <w:tr w:rsidR="00F33586" w:rsidRPr="00F33586" w:rsidTr="00F335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Eutirox</w:t>
            </w:r>
          </w:p>
        </w:tc>
        <w:tc>
          <w:tcPr>
            <w:tcW w:w="880"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8,6</w:t>
            </w:r>
          </w:p>
        </w:tc>
        <w:tc>
          <w:tcPr>
            <w:tcW w:w="949"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Hormona tiroidea</w:t>
            </w:r>
          </w:p>
        </w:tc>
        <w:tc>
          <w:tcPr>
            <w:tcW w:w="46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22"/>
                <w:bdr w:val="none" w:sz="0" w:space="0" w:color="auto"/>
                <w:lang w:val="es-ES" w:eastAsia="es-ES"/>
              </w:rPr>
            </w:pPr>
            <w:r w:rsidRPr="00F33586">
              <w:rPr>
                <w:rFonts w:ascii="Calibri" w:eastAsia="Times New Roman" w:hAnsi="Calibri" w:cs="Calibri"/>
                <w:b/>
                <w:color w:val="000000"/>
                <w:sz w:val="18"/>
                <w:szCs w:val="22"/>
                <w:bdr w:val="none" w:sz="0" w:space="0" w:color="auto"/>
                <w:lang w:val="es-ES" w:eastAsia="es-ES"/>
              </w:rPr>
              <w:t>Lantus</w:t>
            </w:r>
          </w:p>
        </w:tc>
        <w:tc>
          <w:tcPr>
            <w:tcW w:w="743"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132,7</w:t>
            </w:r>
          </w:p>
        </w:tc>
        <w:tc>
          <w:tcPr>
            <w:tcW w:w="1008"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Antidiabético</w:t>
            </w:r>
          </w:p>
        </w:tc>
      </w:tr>
      <w:tr w:rsidR="00F33586" w:rsidRPr="00F33586" w:rsidTr="00F3358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Paracetamol CINFA</w:t>
            </w:r>
          </w:p>
        </w:tc>
        <w:tc>
          <w:tcPr>
            <w:tcW w:w="880"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7,9</w:t>
            </w:r>
          </w:p>
        </w:tc>
        <w:tc>
          <w:tcPr>
            <w:tcW w:w="949"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Analgésico</w:t>
            </w:r>
          </w:p>
        </w:tc>
        <w:tc>
          <w:tcPr>
            <w:tcW w:w="46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000000"/>
                <w:sz w:val="18"/>
                <w:szCs w:val="22"/>
                <w:bdr w:val="none" w:sz="0" w:space="0" w:color="auto"/>
                <w:lang w:val="es-ES" w:eastAsia="es-ES"/>
              </w:rPr>
            </w:pPr>
            <w:r w:rsidRPr="00F33586">
              <w:rPr>
                <w:rFonts w:ascii="Calibri" w:eastAsia="Times New Roman" w:hAnsi="Calibri" w:cs="Calibri"/>
                <w:b/>
                <w:color w:val="000000"/>
                <w:sz w:val="18"/>
                <w:szCs w:val="22"/>
                <w:bdr w:val="none" w:sz="0" w:space="0" w:color="auto"/>
                <w:lang w:val="es-ES" w:eastAsia="es-ES"/>
              </w:rPr>
              <w:t>Prolia</w:t>
            </w:r>
          </w:p>
        </w:tc>
        <w:tc>
          <w:tcPr>
            <w:tcW w:w="743"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132,2</w:t>
            </w:r>
          </w:p>
        </w:tc>
        <w:tc>
          <w:tcPr>
            <w:tcW w:w="1008"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Osteoporosis</w:t>
            </w:r>
          </w:p>
        </w:tc>
      </w:tr>
      <w:tr w:rsidR="00F33586" w:rsidRPr="00F33586" w:rsidTr="00F335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Ventolin</w:t>
            </w:r>
          </w:p>
        </w:tc>
        <w:tc>
          <w:tcPr>
            <w:tcW w:w="880"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7,6</w:t>
            </w:r>
          </w:p>
        </w:tc>
        <w:tc>
          <w:tcPr>
            <w:tcW w:w="949"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Antiasmático</w:t>
            </w:r>
          </w:p>
        </w:tc>
        <w:tc>
          <w:tcPr>
            <w:tcW w:w="46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22"/>
                <w:bdr w:val="none" w:sz="0" w:space="0" w:color="auto"/>
                <w:lang w:val="es-ES" w:eastAsia="es-ES"/>
              </w:rPr>
            </w:pPr>
            <w:r w:rsidRPr="00F33586">
              <w:rPr>
                <w:rFonts w:ascii="Calibri" w:eastAsia="Times New Roman" w:hAnsi="Calibri" w:cs="Calibri"/>
                <w:b/>
                <w:color w:val="000000"/>
                <w:sz w:val="18"/>
                <w:szCs w:val="22"/>
                <w:bdr w:val="none" w:sz="0" w:space="0" w:color="auto"/>
                <w:lang w:val="es-ES" w:eastAsia="es-ES"/>
              </w:rPr>
              <w:t>Xarelto</w:t>
            </w:r>
          </w:p>
        </w:tc>
        <w:tc>
          <w:tcPr>
            <w:tcW w:w="743"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130,8</w:t>
            </w:r>
          </w:p>
        </w:tc>
        <w:tc>
          <w:tcPr>
            <w:tcW w:w="1008"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Anticoagulante</w:t>
            </w:r>
          </w:p>
        </w:tc>
      </w:tr>
      <w:tr w:rsidR="00F33586" w:rsidRPr="00F33586" w:rsidTr="00F3358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Sintrom</w:t>
            </w:r>
          </w:p>
        </w:tc>
        <w:tc>
          <w:tcPr>
            <w:tcW w:w="880"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7,4</w:t>
            </w:r>
          </w:p>
        </w:tc>
        <w:tc>
          <w:tcPr>
            <w:tcW w:w="949"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Anticoagulante</w:t>
            </w:r>
          </w:p>
        </w:tc>
        <w:tc>
          <w:tcPr>
            <w:tcW w:w="46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000000"/>
                <w:sz w:val="18"/>
                <w:szCs w:val="22"/>
                <w:bdr w:val="none" w:sz="0" w:space="0" w:color="auto"/>
                <w:lang w:val="es-ES" w:eastAsia="es-ES"/>
              </w:rPr>
            </w:pPr>
            <w:r w:rsidRPr="00F33586">
              <w:rPr>
                <w:rFonts w:ascii="Calibri" w:eastAsia="Times New Roman" w:hAnsi="Calibri" w:cs="Calibri"/>
                <w:b/>
                <w:color w:val="000000"/>
                <w:sz w:val="18"/>
                <w:szCs w:val="22"/>
                <w:bdr w:val="none" w:sz="0" w:space="0" w:color="auto"/>
                <w:lang w:val="es-ES" w:eastAsia="es-ES"/>
              </w:rPr>
              <w:t>Xeplion</w:t>
            </w:r>
          </w:p>
        </w:tc>
        <w:tc>
          <w:tcPr>
            <w:tcW w:w="743"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127,7</w:t>
            </w:r>
          </w:p>
        </w:tc>
        <w:tc>
          <w:tcPr>
            <w:tcW w:w="1008"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Esquizofrenia</w:t>
            </w:r>
          </w:p>
        </w:tc>
      </w:tr>
      <w:tr w:rsidR="00F33586" w:rsidRPr="00F33586" w:rsidTr="00F335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Ibuprofeno Kern</w:t>
            </w:r>
          </w:p>
        </w:tc>
        <w:tc>
          <w:tcPr>
            <w:tcW w:w="880"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7</w:t>
            </w:r>
          </w:p>
        </w:tc>
        <w:tc>
          <w:tcPr>
            <w:tcW w:w="949"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Antiinflamatorio</w:t>
            </w:r>
          </w:p>
        </w:tc>
        <w:tc>
          <w:tcPr>
            <w:tcW w:w="46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22"/>
                <w:bdr w:val="none" w:sz="0" w:space="0" w:color="auto"/>
                <w:lang w:val="es-ES" w:eastAsia="es-ES"/>
              </w:rPr>
            </w:pPr>
            <w:r w:rsidRPr="00F33586">
              <w:rPr>
                <w:rFonts w:ascii="Calibri" w:eastAsia="Times New Roman" w:hAnsi="Calibri" w:cs="Calibri"/>
                <w:b/>
                <w:color w:val="000000"/>
                <w:sz w:val="18"/>
                <w:szCs w:val="22"/>
                <w:bdr w:val="none" w:sz="0" w:space="0" w:color="auto"/>
                <w:lang w:val="es-ES" w:eastAsia="es-ES"/>
              </w:rPr>
              <w:t>Bexero</w:t>
            </w:r>
          </w:p>
        </w:tc>
        <w:tc>
          <w:tcPr>
            <w:tcW w:w="743"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122,2</w:t>
            </w:r>
          </w:p>
        </w:tc>
        <w:tc>
          <w:tcPr>
            <w:tcW w:w="1008"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Vac. Meningococo B</w:t>
            </w:r>
          </w:p>
        </w:tc>
      </w:tr>
      <w:tr w:rsidR="00F33586" w:rsidRPr="00F33586" w:rsidTr="00F3358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Orfidal</w:t>
            </w:r>
          </w:p>
        </w:tc>
        <w:tc>
          <w:tcPr>
            <w:tcW w:w="880"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6,6</w:t>
            </w:r>
          </w:p>
        </w:tc>
        <w:tc>
          <w:tcPr>
            <w:tcW w:w="949"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Ansiolítico</w:t>
            </w:r>
          </w:p>
        </w:tc>
        <w:tc>
          <w:tcPr>
            <w:tcW w:w="465"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000000"/>
                <w:sz w:val="18"/>
                <w:szCs w:val="22"/>
                <w:bdr w:val="none" w:sz="0" w:space="0" w:color="auto"/>
                <w:lang w:val="es-ES" w:eastAsia="es-ES"/>
              </w:rPr>
            </w:pPr>
            <w:r w:rsidRPr="00F33586">
              <w:rPr>
                <w:rFonts w:ascii="Calibri" w:eastAsia="Times New Roman" w:hAnsi="Calibri" w:cs="Calibri"/>
                <w:b/>
                <w:color w:val="000000"/>
                <w:sz w:val="18"/>
                <w:szCs w:val="22"/>
                <w:bdr w:val="none" w:sz="0" w:space="0" w:color="auto"/>
                <w:lang w:val="es-ES" w:eastAsia="es-ES"/>
              </w:rPr>
              <w:t>Hibor</w:t>
            </w:r>
          </w:p>
        </w:tc>
        <w:tc>
          <w:tcPr>
            <w:tcW w:w="743"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108,8</w:t>
            </w:r>
          </w:p>
        </w:tc>
        <w:tc>
          <w:tcPr>
            <w:tcW w:w="1008" w:type="pct"/>
            <w:noWrap/>
            <w:hideMark/>
          </w:tcPr>
          <w:p w:rsidR="00F33586" w:rsidRPr="00F33586" w:rsidRDefault="00F33586" w:rsidP="00F33586">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8"/>
                <w:szCs w:val="22"/>
                <w:bdr w:val="none" w:sz="0" w:space="0" w:color="auto"/>
                <w:lang w:val="es-ES" w:eastAsia="es-ES"/>
              </w:rPr>
            </w:pPr>
            <w:r w:rsidRPr="00F33586">
              <w:rPr>
                <w:rFonts w:ascii="Calibri" w:eastAsia="Times New Roman" w:hAnsi="Calibri" w:cs="Calibri"/>
                <w:color w:val="000000"/>
                <w:sz w:val="18"/>
                <w:szCs w:val="22"/>
                <w:bdr w:val="none" w:sz="0" w:space="0" w:color="auto"/>
                <w:lang w:val="es-ES" w:eastAsia="es-ES"/>
              </w:rPr>
              <w:t>Anticoagulante</w:t>
            </w:r>
          </w:p>
        </w:tc>
      </w:tr>
    </w:tbl>
    <w:p w:rsidR="00F33586" w:rsidRPr="00E965B2" w:rsidRDefault="00F33586" w:rsidP="00E965B2">
      <w:pPr>
        <w:pStyle w:val="Cuerpo"/>
        <w:jc w:val="both"/>
        <w:rPr>
          <w:rFonts w:asciiTheme="minorHAnsi" w:hAnsiTheme="minorHAnsi"/>
          <w:color w:val="auto"/>
        </w:rPr>
      </w:pPr>
    </w:p>
    <w:p w:rsidR="002B136D" w:rsidRDefault="002B136D" w:rsidP="000E20AD">
      <w:pPr>
        <w:shd w:val="clear" w:color="auto" w:fill="C2D69B" w:themeFill="accent3" w:themeFillTint="99"/>
        <w:jc w:val="both"/>
        <w:rPr>
          <w:lang w:val="es-ES_tradnl" w:eastAsia="es-ES"/>
        </w:rPr>
      </w:pPr>
      <w:r>
        <w:rPr>
          <w:lang w:val="es-ES_tradnl" w:eastAsia="es-ES"/>
        </w:rPr>
        <w:t xml:space="preserve">El producto más vendido en las farmacias, en unidades, en 2018 es </w:t>
      </w:r>
      <w:r w:rsidRPr="002B136D">
        <w:rPr>
          <w:b/>
          <w:lang w:val="es-ES_tradnl" w:eastAsia="es-ES"/>
        </w:rPr>
        <w:t>Nolotil</w:t>
      </w:r>
      <w:r>
        <w:rPr>
          <w:lang w:val="es-ES_tradnl" w:eastAsia="es-ES"/>
        </w:rPr>
        <w:t xml:space="preserve">, un analgésico no opiáceo; mientras en valores es </w:t>
      </w:r>
      <w:r w:rsidRPr="002B136D">
        <w:rPr>
          <w:b/>
          <w:lang w:val="es-ES_tradnl" w:eastAsia="es-ES"/>
        </w:rPr>
        <w:t>Clexane</w:t>
      </w:r>
      <w:r>
        <w:rPr>
          <w:lang w:val="es-ES_tradnl" w:eastAsia="es-ES"/>
        </w:rPr>
        <w:t>, una heparina que actúa como anticoagulante. Dentro de los primeros productos en unidades hay 5 analgésicos/antiinflamatorios; un antiagregante plaquetario; una hormona tiroidea; un anticoagulante; un antiasmático y un ansiolítico.</w:t>
      </w:r>
    </w:p>
    <w:p w:rsidR="002B136D" w:rsidRDefault="002B136D" w:rsidP="000E20AD">
      <w:pPr>
        <w:shd w:val="clear" w:color="auto" w:fill="C2D69B" w:themeFill="accent3" w:themeFillTint="99"/>
        <w:jc w:val="both"/>
        <w:rPr>
          <w:lang w:val="es-ES_tradnl" w:eastAsia="es-ES"/>
        </w:rPr>
      </w:pPr>
    </w:p>
    <w:p w:rsidR="002B11B1" w:rsidRDefault="002B136D" w:rsidP="000E20AD">
      <w:pPr>
        <w:shd w:val="clear" w:color="auto" w:fill="C2D69B" w:themeFill="accent3" w:themeFillTint="99"/>
        <w:jc w:val="both"/>
        <w:rPr>
          <w:lang w:val="es-ES_tradnl" w:eastAsia="es-ES"/>
        </w:rPr>
      </w:pPr>
      <w:r>
        <w:rPr>
          <w:lang w:val="es-ES_tradnl" w:eastAsia="es-ES"/>
        </w:rPr>
        <w:t xml:space="preserve">En cuanto a la venta en valores hay 4 anticoagulantes; un producto usado para la retención urinaria en </w:t>
      </w:r>
      <w:r w:rsidR="00E13A3C">
        <w:rPr>
          <w:lang w:val="es-ES_tradnl" w:eastAsia="es-ES"/>
        </w:rPr>
        <w:t>adenoma benigno de próstata; un broncodilatador; un producto usado para la osteoporosis postmenopáusica; un producto para la esquizofrenia y la vacuna para el meningococo B que el año anterior ocupaba la primera posición.</w:t>
      </w:r>
      <w:r>
        <w:rPr>
          <w:lang w:val="es-ES_tradnl" w:eastAsia="es-ES"/>
        </w:rPr>
        <w:t xml:space="preserve"> </w:t>
      </w:r>
    </w:p>
    <w:p w:rsidR="002B136D" w:rsidRDefault="002B136D" w:rsidP="002B11B1">
      <w:pPr>
        <w:rPr>
          <w:lang w:val="es-ES_tradnl" w:eastAsia="es-ES"/>
        </w:rPr>
      </w:pPr>
    </w:p>
    <w:p w:rsidR="002B136D" w:rsidRPr="002B136D" w:rsidRDefault="002B136D" w:rsidP="002B136D">
      <w:pPr>
        <w:pStyle w:val="Cuerpo"/>
        <w:jc w:val="both"/>
        <w:rPr>
          <w:b/>
          <w:color w:val="92D050"/>
          <w:sz w:val="32"/>
        </w:rPr>
      </w:pPr>
      <w:r w:rsidRPr="002B136D">
        <w:rPr>
          <w:rFonts w:asciiTheme="minorHAnsi" w:hAnsiTheme="minorHAnsi"/>
          <w:b/>
          <w:color w:val="00B050"/>
          <w:sz w:val="28"/>
        </w:rPr>
        <w:t>Verificación de medicamentos: problemas de su implantación inicial.</w:t>
      </w:r>
    </w:p>
    <w:p w:rsidR="002B11B1" w:rsidRPr="002B11B1" w:rsidRDefault="002B11B1" w:rsidP="002B11B1">
      <w:pPr>
        <w:rPr>
          <w:lang w:val="es-ES_tradnl" w:eastAsia="es-ES"/>
        </w:rPr>
      </w:pPr>
    </w:p>
    <w:p w:rsidR="00E13A3C" w:rsidRPr="000E20AD" w:rsidRDefault="00E13A3C" w:rsidP="00E13A3C">
      <w:pPr>
        <w:jc w:val="both"/>
        <w:rPr>
          <w:b/>
          <w:lang w:val="es-ES_tradnl" w:eastAsia="es-ES"/>
        </w:rPr>
      </w:pPr>
      <w:r>
        <w:rPr>
          <w:lang w:val="es-ES_tradnl" w:eastAsia="es-ES"/>
        </w:rPr>
        <w:t xml:space="preserve">Durante el mes de enero las farmacias han tenido que adaptar sus conexiones para poder comenzar a verificar los medicamentos y proveerse de lectores adecuados para el proceso de verificación. </w:t>
      </w:r>
      <w:r w:rsidRPr="000E20AD">
        <w:rPr>
          <w:b/>
          <w:lang w:val="es-ES_tradnl" w:eastAsia="es-ES"/>
        </w:rPr>
        <w:t>La experiencia, tras el día 9 de febrero es positiva, aunque no exenta de problemas, en la mayor parte de las asociaciones autonómicas de FEFE.</w:t>
      </w:r>
    </w:p>
    <w:p w:rsidR="00E13A3C" w:rsidRDefault="00E13A3C" w:rsidP="00E13A3C">
      <w:pPr>
        <w:jc w:val="both"/>
        <w:rPr>
          <w:lang w:val="es-ES_tradnl" w:eastAsia="es-ES"/>
        </w:rPr>
      </w:pPr>
    </w:p>
    <w:p w:rsidR="00E13A3C" w:rsidRPr="002B11B1" w:rsidRDefault="00E13A3C" w:rsidP="000E20AD">
      <w:pPr>
        <w:shd w:val="clear" w:color="auto" w:fill="C2D69B" w:themeFill="accent3" w:themeFillTint="99"/>
        <w:jc w:val="both"/>
        <w:rPr>
          <w:lang w:val="es-ES_tradnl" w:eastAsia="es-ES"/>
        </w:rPr>
      </w:pPr>
      <w:r>
        <w:rPr>
          <w:lang w:val="es-ES_tradnl" w:eastAsia="es-ES"/>
        </w:rPr>
        <w:t>Solo hay que lamentar que el Proyecto de Real Decreto que se está tramitando para la verificación en el Sistema Nacional de Salud, pierda impulso tras la convocatoria de elecciones, o tenga que ser reformulado por el Gobierno q</w:t>
      </w:r>
      <w:r w:rsidR="00FB3C9E">
        <w:rPr>
          <w:lang w:val="es-ES_tradnl" w:eastAsia="es-ES"/>
        </w:rPr>
        <w:t>ue se forme tras el 28 de abril, ya que dependen de él cuestiones básicas como la eventual eliminación del cupón-precinto o el sistema de precios notificados.</w:t>
      </w:r>
    </w:p>
    <w:p w:rsidR="002B11B1" w:rsidRPr="002B11B1" w:rsidRDefault="002B11B1" w:rsidP="002B11B1">
      <w:pPr>
        <w:rPr>
          <w:lang w:val="es-ES_tradnl" w:eastAsia="es-ES"/>
        </w:rPr>
      </w:pPr>
    </w:p>
    <w:p w:rsidR="00E0551F" w:rsidRDefault="00AE0060">
      <w:pPr>
        <w:pStyle w:val="Ttulo2"/>
        <w:rPr>
          <w:rStyle w:val="Ninguno"/>
          <w:sz w:val="32"/>
          <w:szCs w:val="32"/>
        </w:rPr>
      </w:pPr>
      <w:r>
        <w:rPr>
          <w:rStyle w:val="Ninguno"/>
          <w:sz w:val="32"/>
          <w:szCs w:val="32"/>
        </w:rPr>
        <w:t xml:space="preserve">Análisis de los datos mensuales </w:t>
      </w:r>
    </w:p>
    <w:p w:rsidR="00E0551F" w:rsidRDefault="00E0551F">
      <w:pPr>
        <w:pStyle w:val="CuerpoA"/>
        <w:jc w:val="both"/>
        <w:rPr>
          <w:rStyle w:val="Ninguno"/>
          <w:rFonts w:ascii="Helvetica Neue" w:eastAsia="Helvetica Neue" w:hAnsi="Helvetica Neue" w:cs="Helvetica Neue"/>
          <w:color w:val="008080"/>
          <w:sz w:val="18"/>
          <w:szCs w:val="18"/>
          <w:u w:color="008080"/>
        </w:rPr>
      </w:pPr>
    </w:p>
    <w:p w:rsidR="00E0551F" w:rsidRPr="00C15D20" w:rsidRDefault="00AE0060">
      <w:pPr>
        <w:pStyle w:val="CuerpoA"/>
        <w:jc w:val="both"/>
        <w:rPr>
          <w:rStyle w:val="Ninguno"/>
          <w:rFonts w:ascii="Helvetica Neue" w:eastAsia="Helvetica Neue" w:hAnsi="Helvetica Neue" w:cs="Helvetica Neue"/>
          <w:b/>
          <w:bCs/>
          <w:sz w:val="22"/>
        </w:rPr>
      </w:pPr>
      <w:r w:rsidRPr="00C15D20">
        <w:rPr>
          <w:rStyle w:val="Ninguno"/>
          <w:rFonts w:ascii="Helvetica Neue" w:hAnsi="Helvetica Neue"/>
          <w:sz w:val="22"/>
        </w:rPr>
        <w:lastRenderedPageBreak/>
        <w:t xml:space="preserve">Los datos de consumo de medicamentos en el mes de </w:t>
      </w:r>
      <w:r w:rsidR="00CA01E2">
        <w:rPr>
          <w:rStyle w:val="Ninguno"/>
          <w:rFonts w:ascii="Helvetica Neue" w:hAnsi="Helvetica Neue"/>
          <w:sz w:val="22"/>
        </w:rPr>
        <w:t>enero</w:t>
      </w:r>
      <w:r w:rsidRPr="00C15D20">
        <w:rPr>
          <w:rStyle w:val="Ninguno"/>
          <w:rFonts w:ascii="Helvetica Neue" w:hAnsi="Helvetica Neue"/>
          <w:sz w:val="22"/>
        </w:rPr>
        <w:t xml:space="preserve"> de 201</w:t>
      </w:r>
      <w:r w:rsidR="00F329DE">
        <w:rPr>
          <w:rStyle w:val="Ninguno"/>
          <w:rFonts w:ascii="Helvetica Neue" w:hAnsi="Helvetica Neue"/>
          <w:sz w:val="22"/>
        </w:rPr>
        <w:t>9</w:t>
      </w:r>
      <w:r w:rsidRPr="00C15D20">
        <w:rPr>
          <w:rStyle w:val="Ninguno"/>
          <w:rFonts w:ascii="Helvetica Neue" w:hAnsi="Helvetica Neue"/>
          <w:sz w:val="22"/>
        </w:rPr>
        <w:t xml:space="preserve">, ponen de manifiesto que </w:t>
      </w:r>
      <w:r w:rsidRPr="00C15D20">
        <w:rPr>
          <w:rStyle w:val="Ninguno"/>
          <w:rFonts w:ascii="Helvetica Neue" w:hAnsi="Helvetica Neue"/>
          <w:b/>
          <w:bCs/>
          <w:sz w:val="22"/>
        </w:rPr>
        <w:t xml:space="preserve">el mercado financiado ha </w:t>
      </w:r>
      <w:r w:rsidR="00853D78" w:rsidRPr="00C15D20">
        <w:rPr>
          <w:rStyle w:val="Ninguno"/>
          <w:rFonts w:ascii="Helvetica Neue" w:hAnsi="Helvetica Neue"/>
          <w:b/>
          <w:bCs/>
          <w:sz w:val="22"/>
        </w:rPr>
        <w:t>aumentado</w:t>
      </w:r>
      <w:r w:rsidRPr="00C15D20">
        <w:rPr>
          <w:rStyle w:val="Ninguno"/>
          <w:rFonts w:ascii="Helvetica Neue" w:hAnsi="Helvetica Neue"/>
          <w:b/>
          <w:bCs/>
          <w:sz w:val="22"/>
        </w:rPr>
        <w:t xml:space="preserve"> </w:t>
      </w:r>
      <w:r w:rsidR="00992192" w:rsidRPr="00C15D20">
        <w:rPr>
          <w:rStyle w:val="Ninguno"/>
          <w:rFonts w:ascii="Helvetica Neue" w:hAnsi="Helvetica Neue"/>
          <w:b/>
          <w:bCs/>
          <w:sz w:val="22"/>
        </w:rPr>
        <w:t xml:space="preserve">ligeramente </w:t>
      </w:r>
      <w:r w:rsidRPr="00C15D20">
        <w:rPr>
          <w:rStyle w:val="Ninguno"/>
          <w:rFonts w:ascii="Helvetica Neue" w:hAnsi="Helvetica Neue"/>
          <w:b/>
          <w:bCs/>
          <w:sz w:val="22"/>
        </w:rPr>
        <w:t>en valores</w:t>
      </w:r>
      <w:r w:rsidR="0086748B" w:rsidRPr="00C15D20">
        <w:rPr>
          <w:rStyle w:val="Ninguno"/>
          <w:rFonts w:ascii="Helvetica Neue" w:hAnsi="Helvetica Neue"/>
          <w:b/>
          <w:bCs/>
          <w:sz w:val="22"/>
        </w:rPr>
        <w:t xml:space="preserve">, </w:t>
      </w:r>
      <w:r w:rsidR="00F329DE">
        <w:rPr>
          <w:rStyle w:val="Ninguno"/>
          <w:rFonts w:ascii="Helvetica Neue" w:hAnsi="Helvetica Neue"/>
          <w:b/>
          <w:bCs/>
          <w:sz w:val="22"/>
        </w:rPr>
        <w:t>recetas y gasto medio por receta e</w:t>
      </w:r>
      <w:r w:rsidRPr="00C15D20">
        <w:rPr>
          <w:rStyle w:val="Ninguno"/>
          <w:rFonts w:ascii="Helvetica Neue" w:hAnsi="Helvetica Neue"/>
          <w:b/>
          <w:bCs/>
          <w:sz w:val="22"/>
        </w:rPr>
        <w:t xml:space="preserve">n el mercado total, el </w:t>
      </w:r>
      <w:r w:rsidR="00853D78" w:rsidRPr="00C15D20">
        <w:rPr>
          <w:rStyle w:val="Ninguno"/>
          <w:rFonts w:ascii="Helvetica Neue" w:hAnsi="Helvetica Neue"/>
          <w:b/>
          <w:bCs/>
          <w:sz w:val="22"/>
        </w:rPr>
        <w:t>aumento</w:t>
      </w:r>
      <w:r w:rsidRPr="00C15D20">
        <w:rPr>
          <w:rStyle w:val="Ninguno"/>
          <w:rFonts w:ascii="Helvetica Neue" w:hAnsi="Helvetica Neue"/>
          <w:b/>
          <w:bCs/>
          <w:sz w:val="22"/>
        </w:rPr>
        <w:t xml:space="preserve"> es </w:t>
      </w:r>
      <w:r w:rsidR="0086748B" w:rsidRPr="00C15D20">
        <w:rPr>
          <w:rStyle w:val="Ninguno"/>
          <w:rFonts w:ascii="Helvetica Neue" w:hAnsi="Helvetica Neue"/>
          <w:b/>
          <w:bCs/>
          <w:sz w:val="22"/>
        </w:rPr>
        <w:t xml:space="preserve">menor </w:t>
      </w:r>
      <w:r w:rsidRPr="00C15D20">
        <w:rPr>
          <w:rStyle w:val="Ninguno"/>
          <w:rFonts w:ascii="Helvetica Neue" w:hAnsi="Helvetica Neue"/>
          <w:b/>
          <w:bCs/>
          <w:sz w:val="22"/>
        </w:rPr>
        <w:t>en valores</w:t>
      </w:r>
      <w:r w:rsidR="0086748B" w:rsidRPr="00C15D20">
        <w:rPr>
          <w:rStyle w:val="Ninguno"/>
          <w:rFonts w:ascii="Helvetica Neue" w:hAnsi="Helvetica Neue"/>
          <w:b/>
          <w:bCs/>
          <w:sz w:val="22"/>
        </w:rPr>
        <w:t xml:space="preserve"> y en unidades. </w:t>
      </w:r>
      <w:r w:rsidRPr="00C15D20">
        <w:rPr>
          <w:rStyle w:val="Ninguno"/>
          <w:rFonts w:ascii="Helvetica Neue" w:hAnsi="Helvetica Neue"/>
          <w:sz w:val="22"/>
        </w:rPr>
        <w:t xml:space="preserve">El crecimiento en </w:t>
      </w:r>
      <w:r w:rsidRPr="00C15D20">
        <w:rPr>
          <w:rStyle w:val="Ninguno"/>
          <w:rFonts w:ascii="Helvetica Neue" w:hAnsi="Helvetica Neue"/>
          <w:b/>
          <w:bCs/>
          <w:sz w:val="22"/>
        </w:rPr>
        <w:t>términos anuales del mercado financiado alcanza este mes los</w:t>
      </w:r>
      <w:r w:rsidR="00853D78" w:rsidRPr="00C15D20">
        <w:rPr>
          <w:rStyle w:val="Ninguno"/>
          <w:rFonts w:ascii="Helvetica Neue" w:hAnsi="Helvetica Neue"/>
          <w:b/>
          <w:bCs/>
          <w:sz w:val="22"/>
        </w:rPr>
        <w:t xml:space="preserve"> </w:t>
      </w:r>
      <w:r w:rsidR="00F329DE">
        <w:rPr>
          <w:rStyle w:val="Ninguno"/>
          <w:rFonts w:ascii="Helvetica Neue" w:hAnsi="Helvetica Neue"/>
          <w:b/>
          <w:bCs/>
        </w:rPr>
        <w:t xml:space="preserve">275,5  </w:t>
      </w:r>
      <w:r w:rsidRPr="00C15D20">
        <w:rPr>
          <w:rStyle w:val="Ninguno"/>
          <w:rFonts w:ascii="Helvetica Neue" w:hAnsi="Helvetica Neue"/>
          <w:b/>
          <w:bCs/>
          <w:sz w:val="22"/>
        </w:rPr>
        <w:t>millones de euros.</w:t>
      </w:r>
    </w:p>
    <w:p w:rsidR="00E0551F" w:rsidRDefault="00AE0060">
      <w:pPr>
        <w:pStyle w:val="CuerpoA"/>
        <w:jc w:val="both"/>
        <w:rPr>
          <w:rStyle w:val="Ninguno"/>
          <w:rFonts w:ascii="Helvetica Neue" w:eastAsia="Helvetica Neue" w:hAnsi="Helvetica Neue" w:cs="Helvetica Neue"/>
          <w:b/>
          <w:bCs/>
        </w:rPr>
      </w:pPr>
      <w:r>
        <w:rPr>
          <w:rStyle w:val="Ninguno"/>
          <w:rFonts w:ascii="Helvetica Neue" w:hAnsi="Helvetica Neue"/>
          <w:b/>
          <w:bCs/>
        </w:rPr>
        <w:t xml:space="preserve"> </w:t>
      </w:r>
    </w:p>
    <w:p w:rsidR="00E0551F" w:rsidRPr="00B77A1D" w:rsidRDefault="00AE0060">
      <w:pPr>
        <w:pStyle w:val="Cuerpo"/>
        <w:jc w:val="both"/>
        <w:rPr>
          <w:rStyle w:val="Ninguno"/>
          <w:rFonts w:ascii="Helvetica Neue" w:eastAsia="Helvetica Neue" w:hAnsi="Helvetica Neue" w:cs="Helvetica Neue"/>
          <w:sz w:val="22"/>
        </w:rPr>
      </w:pPr>
      <w:r w:rsidRPr="00B77A1D">
        <w:rPr>
          <w:rStyle w:val="Ninguno"/>
          <w:rFonts w:ascii="Helvetica Neue" w:hAnsi="Helvetica Neue"/>
          <w:sz w:val="22"/>
        </w:rPr>
        <w:t>La demanda de medicamentos financiados continúa normalizándose respecto al año 2012, aunque estimamos que nunca llegará a alcanzar la cifra de ese año, a menos que se elimine total o parcialmente la aportación a los pensionistas</w:t>
      </w:r>
      <w:r w:rsidR="00F329DE">
        <w:rPr>
          <w:rStyle w:val="Ninguno"/>
          <w:rFonts w:ascii="Helvetica Neue" w:hAnsi="Helvetica Neue"/>
          <w:sz w:val="22"/>
        </w:rPr>
        <w:t>, algo que ahora parece alejarse por la convocatoria de elecciones</w:t>
      </w:r>
      <w:r w:rsidRPr="00B77A1D">
        <w:rPr>
          <w:rStyle w:val="Ninguno"/>
          <w:rFonts w:ascii="Helvetica Neue" w:hAnsi="Helvetica Neue"/>
          <w:sz w:val="22"/>
        </w:rPr>
        <w:t xml:space="preserve">. En  el acumulado interanual respecto a 2017 se ha producido un incremento de </w:t>
      </w:r>
      <w:r w:rsidR="0086748B" w:rsidRPr="00B77A1D">
        <w:rPr>
          <w:rStyle w:val="Ninguno"/>
          <w:rFonts w:ascii="Helvetica Neue" w:hAnsi="Helvetica Neue"/>
          <w:sz w:val="22"/>
        </w:rPr>
        <w:t>1</w:t>
      </w:r>
      <w:r w:rsidR="00F329DE">
        <w:rPr>
          <w:rStyle w:val="Ninguno"/>
          <w:rFonts w:ascii="Helvetica Neue" w:hAnsi="Helvetica Neue"/>
          <w:sz w:val="22"/>
        </w:rPr>
        <w:t>4</w:t>
      </w:r>
      <w:r w:rsidR="0086748B" w:rsidRPr="00B77A1D">
        <w:rPr>
          <w:rStyle w:val="Ninguno"/>
          <w:rFonts w:ascii="Helvetica Neue" w:hAnsi="Helvetica Neue"/>
          <w:sz w:val="22"/>
        </w:rPr>
        <w:t>,4</w:t>
      </w:r>
      <w:r w:rsidRPr="00B77A1D">
        <w:rPr>
          <w:rStyle w:val="Ninguno"/>
          <w:rFonts w:ascii="Helvetica Neue" w:hAnsi="Helvetica Neue"/>
          <w:b/>
          <w:bCs/>
          <w:sz w:val="22"/>
        </w:rPr>
        <w:t xml:space="preserve"> </w:t>
      </w:r>
      <w:r w:rsidRPr="00B77A1D">
        <w:rPr>
          <w:rStyle w:val="Ninguno"/>
          <w:rFonts w:ascii="Helvetica Neue" w:hAnsi="Helvetica Neue"/>
          <w:sz w:val="22"/>
        </w:rPr>
        <w:t xml:space="preserve"> millones de recetas.</w:t>
      </w:r>
    </w:p>
    <w:p w:rsidR="00FB3C9E" w:rsidRDefault="00FB3C9E">
      <w:pPr>
        <w:pStyle w:val="Ttulo2"/>
        <w:rPr>
          <w:rStyle w:val="Ninguno"/>
          <w:sz w:val="30"/>
          <w:szCs w:val="30"/>
        </w:rPr>
      </w:pPr>
    </w:p>
    <w:p w:rsidR="00E0551F" w:rsidRDefault="00AE0060">
      <w:pPr>
        <w:pStyle w:val="Ttulo2"/>
        <w:rPr>
          <w:rStyle w:val="Ninguno"/>
          <w:sz w:val="30"/>
          <w:szCs w:val="30"/>
        </w:rPr>
      </w:pPr>
      <w:r>
        <w:rPr>
          <w:rStyle w:val="Ninguno"/>
          <w:sz w:val="30"/>
          <w:szCs w:val="30"/>
        </w:rPr>
        <w:t>Destacados en este Observatorio</w:t>
      </w:r>
    </w:p>
    <w:p w:rsidR="00F329DE" w:rsidRPr="00F329DE" w:rsidRDefault="00F329DE" w:rsidP="00F329DE">
      <w:pPr>
        <w:pStyle w:val="Cuerpo"/>
      </w:pPr>
    </w:p>
    <w:p w:rsidR="00F329DE" w:rsidRPr="00FB3C9E" w:rsidRDefault="00F329DE" w:rsidP="00F329DE">
      <w:pPr>
        <w:pStyle w:val="Cuerpo"/>
        <w:numPr>
          <w:ilvl w:val="0"/>
          <w:numId w:val="9"/>
        </w:numPr>
        <w:jc w:val="both"/>
        <w:rPr>
          <w:b/>
          <w:color w:val="92D050"/>
        </w:rPr>
      </w:pPr>
      <w:r>
        <w:rPr>
          <w:rFonts w:asciiTheme="minorHAnsi" w:hAnsiTheme="minorHAnsi"/>
          <w:b/>
          <w:color w:val="00B050"/>
        </w:rPr>
        <w:t>El número de farmacéuticos que trabajan en las farmacias depende en primer lugar de la población atendida, y en segundo lugar, de cómo la Ordenación Farmacéutica aborda la presencia del farmacéutico.</w:t>
      </w:r>
    </w:p>
    <w:p w:rsidR="00FB3C9E" w:rsidRPr="00FB3C9E" w:rsidRDefault="00FB3C9E" w:rsidP="00FB3C9E">
      <w:pPr>
        <w:pStyle w:val="Cuerpo"/>
        <w:ind w:left="720"/>
        <w:jc w:val="both"/>
        <w:rPr>
          <w:b/>
          <w:color w:val="92D050"/>
        </w:rPr>
      </w:pPr>
    </w:p>
    <w:p w:rsidR="00FB3C9E" w:rsidRPr="00FB3C9E" w:rsidRDefault="00FB3C9E" w:rsidP="00FB3C9E">
      <w:pPr>
        <w:jc w:val="both"/>
        <w:rPr>
          <w:rFonts w:asciiTheme="minorHAnsi" w:hAnsiTheme="minorHAnsi"/>
          <w:lang w:val="es-ES_tradnl" w:eastAsia="es-ES"/>
        </w:rPr>
      </w:pPr>
      <w:r w:rsidRPr="00FB3C9E">
        <w:rPr>
          <w:rFonts w:asciiTheme="minorHAnsi" w:hAnsiTheme="minorHAnsi"/>
          <w:lang w:val="es-ES_tradnl"/>
        </w:rPr>
        <w:t xml:space="preserve">Las 22.046 farmacias que existen en España contratan a más de </w:t>
      </w:r>
      <w:r w:rsidRPr="00FB3C9E">
        <w:rPr>
          <w:rFonts w:asciiTheme="minorHAnsi" w:eastAsia="Times New Roman" w:hAnsiTheme="minorHAnsi" w:cs="Calibri"/>
          <w:sz w:val="22"/>
          <w:szCs w:val="22"/>
          <w:bdr w:val="none" w:sz="0" w:space="0" w:color="auto"/>
          <w:lang w:val="es-ES"/>
        </w:rPr>
        <w:t>25.689 farmacéuticos aparte de sus titulares o cotitulares. Como es sabido estos empleos son fundamentalmente femeninos y de calidad, ya que en su mayor parte son empleos fijos.</w:t>
      </w:r>
      <w:r>
        <w:rPr>
          <w:rFonts w:asciiTheme="minorHAnsi" w:eastAsia="Times New Roman" w:hAnsiTheme="minorHAnsi" w:cs="Calibri"/>
          <w:sz w:val="22"/>
          <w:szCs w:val="22"/>
          <w:bdr w:val="none" w:sz="0" w:space="0" w:color="auto"/>
          <w:lang w:val="es-ES"/>
        </w:rPr>
        <w:t xml:space="preserve"> Sin embargo,</w:t>
      </w:r>
      <w:r w:rsidRPr="00FB3C9E">
        <w:rPr>
          <w:rFonts w:asciiTheme="minorHAnsi" w:hAnsiTheme="minorHAnsi"/>
          <w:lang w:val="es-ES_tradnl" w:eastAsia="es-ES"/>
        </w:rPr>
        <w:t xml:space="preserve"> nivel socioeconómico y un mayor número de habitantes por farmacia condicionan la contratación de un mayor número de farmacéuticos, muy dependiente también de la Ordenación Farmacéutica, tanto por el mantenimiento de un módulo elevado de habitantes por farmacia, como por la forma en que se aborde la presencia del farmacéutico en la dispensación.</w:t>
      </w:r>
      <w:r>
        <w:rPr>
          <w:rFonts w:asciiTheme="minorHAnsi" w:hAnsiTheme="minorHAnsi"/>
          <w:lang w:val="es-ES_tradnl" w:eastAsia="es-ES"/>
        </w:rPr>
        <w:t xml:space="preserve"> Así son fácilmente identificables las regiones donde la ordenación farmacéutica condiciona en mayor o menor medida el empleo de farmacéuticos.</w:t>
      </w:r>
      <w:r w:rsidRPr="00FB3C9E">
        <w:rPr>
          <w:rFonts w:asciiTheme="minorHAnsi" w:hAnsiTheme="minorHAnsi"/>
          <w:lang w:val="es-ES_tradnl" w:eastAsia="es-ES"/>
        </w:rPr>
        <w:t xml:space="preserve"> </w:t>
      </w:r>
    </w:p>
    <w:p w:rsidR="00B77A1D" w:rsidRPr="00B77A1D" w:rsidRDefault="00B77A1D" w:rsidP="003E01A9">
      <w:pPr>
        <w:pStyle w:val="Cuerpo"/>
        <w:jc w:val="both"/>
        <w:rPr>
          <w:b/>
          <w:color w:val="92D050"/>
          <w:sz w:val="16"/>
        </w:rPr>
      </w:pPr>
    </w:p>
    <w:p w:rsidR="00F329DE" w:rsidRPr="00FB3C9E" w:rsidRDefault="00F329DE" w:rsidP="00F329DE">
      <w:pPr>
        <w:pStyle w:val="Cuerpo"/>
        <w:numPr>
          <w:ilvl w:val="0"/>
          <w:numId w:val="9"/>
        </w:numPr>
        <w:jc w:val="both"/>
        <w:rPr>
          <w:rFonts w:asciiTheme="minorHAnsi" w:hAnsiTheme="minorHAnsi"/>
          <w:color w:val="auto"/>
        </w:rPr>
      </w:pPr>
      <w:r>
        <w:rPr>
          <w:b/>
          <w:color w:val="00B050"/>
        </w:rPr>
        <w:t>Top Ten de medicamentos en unidades y valores en las farmacias en 20118.</w:t>
      </w:r>
    </w:p>
    <w:p w:rsidR="003E01A9" w:rsidRDefault="00FB3C9E" w:rsidP="005652D4">
      <w:pPr>
        <w:pStyle w:val="Cuerpo"/>
        <w:jc w:val="both"/>
      </w:pPr>
      <w:r>
        <w:t xml:space="preserve">El producto más vendido en las farmacias, en unidades, en 2018 es </w:t>
      </w:r>
      <w:r w:rsidRPr="002B136D">
        <w:rPr>
          <w:b/>
        </w:rPr>
        <w:t>Nolotil</w:t>
      </w:r>
      <w:r>
        <w:t xml:space="preserve">, un analgésico no opiáceo; mientras en valores es </w:t>
      </w:r>
      <w:r w:rsidRPr="002B136D">
        <w:rPr>
          <w:b/>
        </w:rPr>
        <w:t>Clexane</w:t>
      </w:r>
      <w:r>
        <w:t>, una heparina que actúa como anticoagulante.</w:t>
      </w:r>
    </w:p>
    <w:p w:rsidR="00FB3C9E" w:rsidRPr="00FB3C9E" w:rsidRDefault="00FB3C9E" w:rsidP="005652D4">
      <w:pPr>
        <w:pStyle w:val="Cuerpo"/>
        <w:jc w:val="both"/>
        <w:rPr>
          <w:rStyle w:val="Ninguno"/>
          <w:rFonts w:asciiTheme="minorHAnsi" w:hAnsiTheme="minorHAnsi"/>
          <w:color w:val="auto"/>
          <w:szCs w:val="32"/>
        </w:rPr>
      </w:pPr>
    </w:p>
    <w:p w:rsidR="00FB3C9E" w:rsidRPr="00FB3C9E" w:rsidRDefault="00F329DE" w:rsidP="00FB3C9E">
      <w:pPr>
        <w:pStyle w:val="Cuerpo"/>
        <w:numPr>
          <w:ilvl w:val="0"/>
          <w:numId w:val="9"/>
        </w:numPr>
        <w:jc w:val="both"/>
        <w:rPr>
          <w:b/>
          <w:color w:val="92D050"/>
        </w:rPr>
      </w:pPr>
      <w:r>
        <w:rPr>
          <w:rFonts w:asciiTheme="minorHAnsi" w:hAnsiTheme="minorHAnsi"/>
          <w:b/>
          <w:color w:val="00B050"/>
        </w:rPr>
        <w:t>Verificación de medicamentos: problemas de su implantación inicial.</w:t>
      </w:r>
    </w:p>
    <w:p w:rsidR="00FB3C9E" w:rsidRPr="00FB3C9E" w:rsidRDefault="00FB3C9E" w:rsidP="00FB3C9E">
      <w:pPr>
        <w:jc w:val="both"/>
        <w:rPr>
          <w:lang w:val="es-ES_tradnl"/>
        </w:rPr>
      </w:pPr>
      <w:r w:rsidRPr="00FB3C9E">
        <w:rPr>
          <w:lang w:val="es-ES_tradnl"/>
        </w:rPr>
        <w:t>Durante el mes de enero las farmacias han tenido que adaptar sus conexiones para poder comenzar a verificar los medicamentos y proveerse de lectores adecuados para el proceso de verificación. La experiencia, tras el día 9 de febrero es positiva, aunque no exenta de problemas, en la mayor parte de las asociaciones autonómicas de FEFE.</w:t>
      </w:r>
      <w:r>
        <w:rPr>
          <w:lang w:val="es-ES_tradnl"/>
        </w:rPr>
        <w:t xml:space="preserve"> Solo hay que lamentar el retraso que pueda producirse en la tramitación del proyecto de real decreto para la verificación en el Sistema Nacional de Salud, del que depende la eliminación del cupón-precinto y el desarrollo de los “precios notificados”</w:t>
      </w:r>
    </w:p>
    <w:p w:rsidR="00F329DE" w:rsidRPr="00FB3C9E" w:rsidRDefault="00F329DE" w:rsidP="005652D4">
      <w:pPr>
        <w:pStyle w:val="Cuerpo"/>
        <w:jc w:val="both"/>
        <w:rPr>
          <w:rStyle w:val="Ninguno"/>
          <w:rFonts w:asciiTheme="minorHAnsi" w:hAnsiTheme="minorHAnsi"/>
          <w:color w:val="00B050"/>
          <w:szCs w:val="32"/>
        </w:rPr>
      </w:pPr>
    </w:p>
    <w:p w:rsidR="00E0551F" w:rsidRPr="00E229F4" w:rsidRDefault="00AE0060" w:rsidP="00E229F4">
      <w:pPr>
        <w:pStyle w:val="Cuerpo"/>
        <w:jc w:val="both"/>
        <w:rPr>
          <w:rStyle w:val="NingunoA"/>
          <w:color w:val="00B050"/>
          <w:sz w:val="28"/>
        </w:rPr>
      </w:pPr>
      <w:r w:rsidRPr="00E229F4">
        <w:rPr>
          <w:rStyle w:val="NingunoA"/>
          <w:color w:val="00B050"/>
          <w:sz w:val="28"/>
        </w:rPr>
        <w:t>Previsiones</w:t>
      </w:r>
    </w:p>
    <w:p w:rsidR="00E0551F" w:rsidRPr="00E229F4" w:rsidRDefault="00E0551F">
      <w:pPr>
        <w:pStyle w:val="Cuerpo"/>
        <w:rPr>
          <w:sz w:val="20"/>
        </w:rPr>
      </w:pPr>
    </w:p>
    <w:p w:rsidR="00E0551F" w:rsidRPr="00B77A1D" w:rsidRDefault="00AE0060">
      <w:pPr>
        <w:pStyle w:val="CuerpoA"/>
        <w:jc w:val="both"/>
        <w:rPr>
          <w:sz w:val="22"/>
        </w:rPr>
      </w:pPr>
      <w:r w:rsidRPr="00B77A1D">
        <w:rPr>
          <w:rStyle w:val="Ninguno"/>
          <w:rFonts w:ascii="Helvetica Neue" w:hAnsi="Helvetica Neue"/>
          <w:b/>
          <w:bCs/>
          <w:sz w:val="22"/>
        </w:rPr>
        <w:lastRenderedPageBreak/>
        <w:t xml:space="preserve">Finalmente, las previsiones a corto plazo </w:t>
      </w:r>
      <w:r w:rsidR="0086748B" w:rsidRPr="00B77A1D">
        <w:rPr>
          <w:rStyle w:val="Ninguno"/>
          <w:rFonts w:ascii="Helvetica Neue" w:hAnsi="Helvetica Neue"/>
          <w:b/>
          <w:bCs/>
          <w:sz w:val="22"/>
        </w:rPr>
        <w:t>febrero</w:t>
      </w:r>
      <w:r w:rsidR="00A85431" w:rsidRPr="00B77A1D">
        <w:rPr>
          <w:rStyle w:val="Ninguno"/>
          <w:rFonts w:ascii="Helvetica Neue" w:hAnsi="Helvetica Neue"/>
          <w:b/>
          <w:bCs/>
          <w:sz w:val="22"/>
        </w:rPr>
        <w:t xml:space="preserve"> </w:t>
      </w:r>
      <w:r w:rsidR="00226AEB">
        <w:rPr>
          <w:rStyle w:val="Ninguno"/>
          <w:rFonts w:ascii="Helvetica Neue" w:hAnsi="Helvetica Neue"/>
          <w:b/>
          <w:bCs/>
          <w:sz w:val="22"/>
        </w:rPr>
        <w:t xml:space="preserve"> y marzo </w:t>
      </w:r>
      <w:r w:rsidR="0086748B" w:rsidRPr="00B77A1D">
        <w:rPr>
          <w:rStyle w:val="Ninguno"/>
          <w:rFonts w:ascii="Helvetica Neue" w:hAnsi="Helvetica Neue"/>
          <w:b/>
          <w:bCs/>
          <w:sz w:val="22"/>
        </w:rPr>
        <w:t>de 2019</w:t>
      </w:r>
      <w:r w:rsidRPr="00B77A1D">
        <w:rPr>
          <w:rStyle w:val="Ninguno"/>
          <w:rFonts w:ascii="Helvetica Neue" w:hAnsi="Helvetica Neue"/>
          <w:b/>
          <w:bCs/>
          <w:sz w:val="22"/>
        </w:rPr>
        <w:t xml:space="preserve"> – </w:t>
      </w:r>
      <w:r w:rsidRPr="00B77A1D">
        <w:rPr>
          <w:rStyle w:val="Ninguno"/>
          <w:rFonts w:ascii="Helvetica Neue" w:hAnsi="Helvetica Neue"/>
          <w:sz w:val="22"/>
        </w:rPr>
        <w:t>indican que el mercado continuará e</w:t>
      </w:r>
      <w:r w:rsidR="00A85431" w:rsidRPr="00B77A1D">
        <w:rPr>
          <w:rStyle w:val="Ninguno"/>
          <w:rFonts w:ascii="Helvetica Neue" w:hAnsi="Helvetica Neue"/>
          <w:sz w:val="22"/>
        </w:rPr>
        <w:t xml:space="preserve">n un crecimiento en torno al </w:t>
      </w:r>
      <w:r w:rsidR="00226AEB">
        <w:rPr>
          <w:rStyle w:val="Ninguno"/>
          <w:rFonts w:ascii="Helvetica Neue" w:hAnsi="Helvetica Neue"/>
          <w:sz w:val="22"/>
        </w:rPr>
        <w:t>2</w:t>
      </w:r>
      <w:r w:rsidR="00A85431" w:rsidRPr="00B77A1D">
        <w:rPr>
          <w:rStyle w:val="Ninguno"/>
          <w:rFonts w:ascii="Helvetica Neue" w:hAnsi="Helvetica Neue"/>
          <w:sz w:val="22"/>
        </w:rPr>
        <w:t xml:space="preserve">%, con posible </w:t>
      </w:r>
      <w:r w:rsidR="0086748B" w:rsidRPr="00B77A1D">
        <w:rPr>
          <w:rStyle w:val="Ninguno"/>
          <w:rFonts w:ascii="Helvetica Neue" w:hAnsi="Helvetica Neue"/>
          <w:sz w:val="22"/>
        </w:rPr>
        <w:t xml:space="preserve">descenso en </w:t>
      </w:r>
      <w:r w:rsidR="00030083" w:rsidRPr="00B77A1D">
        <w:rPr>
          <w:rStyle w:val="Ninguno"/>
          <w:rFonts w:ascii="Helvetica Neue" w:hAnsi="Helvetica Neue"/>
          <w:sz w:val="22"/>
        </w:rPr>
        <w:t>febrero</w:t>
      </w:r>
      <w:r w:rsidR="00226AEB">
        <w:rPr>
          <w:rStyle w:val="Ninguno"/>
          <w:rFonts w:ascii="Helvetica Neue" w:hAnsi="Helvetica Neue"/>
          <w:sz w:val="22"/>
        </w:rPr>
        <w:t xml:space="preserve"> y aumento en marzo</w:t>
      </w:r>
      <w:r w:rsidR="00A85431" w:rsidRPr="00B77A1D">
        <w:rPr>
          <w:rStyle w:val="Ninguno"/>
          <w:rFonts w:ascii="Helvetica Neue" w:hAnsi="Helvetica Neue"/>
          <w:sz w:val="22"/>
        </w:rPr>
        <w:t>, sin que la nueva Orden de Precios de Referencia modifique la tendencia.</w:t>
      </w:r>
    </w:p>
    <w:sectPr w:rsidR="00E0551F" w:rsidRPr="00B77A1D" w:rsidSect="001A2836">
      <w:headerReference w:type="default" r:id="rId21"/>
      <w:footerReference w:type="default" r:id="rId22"/>
      <w:pgSz w:w="11900" w:h="16840"/>
      <w:pgMar w:top="2202" w:right="1531" w:bottom="1418" w:left="153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3BB" w:rsidRDefault="000653BB">
      <w:r>
        <w:separator/>
      </w:r>
    </w:p>
  </w:endnote>
  <w:endnote w:type="continuationSeparator" w:id="0">
    <w:p w:rsidR="000653BB" w:rsidRDefault="0006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6B" w:rsidRDefault="002A666B">
    <w:pPr>
      <w:pStyle w:val="Piedepgina"/>
      <w:tabs>
        <w:tab w:val="clear" w:pos="8838"/>
        <w:tab w:val="right" w:pos="8818"/>
      </w:tabs>
      <w:jc w:val="center"/>
      <w:rPr>
        <w:rStyle w:val="Ninguno"/>
        <w:rFonts w:ascii="Helvetica Neue" w:eastAsia="Helvetica Neue" w:hAnsi="Helvetica Neue" w:cs="Helvetica Neue"/>
        <w:sz w:val="20"/>
        <w:szCs w:val="20"/>
      </w:rPr>
    </w:pPr>
    <w:r>
      <w:rPr>
        <w:rStyle w:val="Ninguno"/>
        <w:rFonts w:ascii="Helvetica Neue" w:hAnsi="Helvetica Neue"/>
        <w:sz w:val="20"/>
        <w:szCs w:val="20"/>
      </w:rPr>
      <w:t>FEDERACIÓN EMPRESARIAL DE FARMACÉUTICOS ESPAÑOLES</w:t>
    </w:r>
  </w:p>
  <w:p w:rsidR="002A666B" w:rsidRDefault="002A666B">
    <w:pPr>
      <w:pStyle w:val="Piedepgina"/>
      <w:tabs>
        <w:tab w:val="clear" w:pos="8838"/>
        <w:tab w:val="right" w:pos="8818"/>
      </w:tabs>
      <w:jc w:val="center"/>
      <w:rPr>
        <w:rStyle w:val="Ninguno"/>
        <w:rFonts w:ascii="Helvetica Neue" w:eastAsia="Helvetica Neue" w:hAnsi="Helvetica Neue" w:cs="Helvetica Neue"/>
        <w:sz w:val="20"/>
        <w:szCs w:val="20"/>
      </w:rPr>
    </w:pPr>
    <w:r>
      <w:rPr>
        <w:rStyle w:val="Ninguno"/>
        <w:rFonts w:ascii="Helvetica Neue" w:hAnsi="Helvetica Neue"/>
        <w:sz w:val="20"/>
        <w:szCs w:val="20"/>
      </w:rPr>
      <w:t>Príncipe de Vergara 8, 3º. 28001 – Madrid</w:t>
    </w:r>
  </w:p>
  <w:p w:rsidR="002A666B" w:rsidRDefault="002A666B">
    <w:pPr>
      <w:pStyle w:val="Piedepgina"/>
      <w:tabs>
        <w:tab w:val="clear" w:pos="8838"/>
        <w:tab w:val="right" w:pos="8818"/>
      </w:tabs>
      <w:jc w:val="center"/>
    </w:pPr>
    <w:r>
      <w:rPr>
        <w:rStyle w:val="Ninguno"/>
        <w:rFonts w:ascii="Helvetica Neue" w:hAnsi="Helvetica Neue"/>
        <w:sz w:val="20"/>
        <w:szCs w:val="20"/>
      </w:rPr>
      <w:t>•Tel: 91 575 43 86 • Fax: 91 577 57 43 • e-mail: federacion@fefe.com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3BB" w:rsidRDefault="000653BB">
      <w:r>
        <w:separator/>
      </w:r>
    </w:p>
  </w:footnote>
  <w:footnote w:type="continuationSeparator" w:id="0">
    <w:p w:rsidR="000653BB" w:rsidRDefault="000653BB">
      <w:r>
        <w:continuationSeparator/>
      </w:r>
    </w:p>
  </w:footnote>
  <w:footnote w:type="continuationNotice" w:id="1">
    <w:p w:rsidR="000653BB" w:rsidRDefault="00065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6B" w:rsidRDefault="002A666B">
    <w:pPr>
      <w:pStyle w:val="Encabezado"/>
      <w:tabs>
        <w:tab w:val="clear" w:pos="8838"/>
        <w:tab w:val="right" w:pos="8818"/>
      </w:tabs>
    </w:pPr>
    <w:r>
      <w:rPr>
        <w:noProof/>
        <w:lang w:val="es-ES"/>
      </w:rPr>
      <w:drawing>
        <wp:anchor distT="152400" distB="152400" distL="152400" distR="152400" simplePos="0" relativeHeight="251657216" behindDoc="1" locked="0" layoutInCell="1" allowOverlap="1">
          <wp:simplePos x="0" y="0"/>
          <wp:positionH relativeFrom="page">
            <wp:posOffset>850900</wp:posOffset>
          </wp:positionH>
          <wp:positionV relativeFrom="page">
            <wp:posOffset>120015</wp:posOffset>
          </wp:positionV>
          <wp:extent cx="1143635" cy="1143635"/>
          <wp:effectExtent l="0" t="0" r="0" b="0"/>
          <wp:wrapNone/>
          <wp:docPr id="1073741825" name="officeArt object" descr="../Dropbox/FEFE%20LOGOTIPOS/FEFE%20LOGOS_RGB/Logotipo_1.png"/>
          <wp:cNvGraphicFramePr/>
          <a:graphic xmlns:a="http://schemas.openxmlformats.org/drawingml/2006/main">
            <a:graphicData uri="http://schemas.openxmlformats.org/drawingml/2006/picture">
              <pic:pic xmlns:pic="http://schemas.openxmlformats.org/drawingml/2006/picture">
                <pic:nvPicPr>
                  <pic:cNvPr id="1073741825" name="../Dropbox/FEFE%20LOGOTIPOS/FEFE%20LOGOS_RGB/Logotipo_1.png" descr="../Dropbox/FEFE%20LOGOTIPOS/FEFE%20LOGOS_RGB/Logotipo_1.png"/>
                  <pic:cNvPicPr>
                    <a:picLocks noChangeAspect="1"/>
                  </pic:cNvPicPr>
                </pic:nvPicPr>
                <pic:blipFill>
                  <a:blip r:embed="rId1">
                    <a:extLst/>
                  </a:blip>
                  <a:stretch>
                    <a:fillRect/>
                  </a:stretch>
                </pic:blipFill>
                <pic:spPr>
                  <a:xfrm>
                    <a:off x="0" y="0"/>
                    <a:ext cx="1143635" cy="1143635"/>
                  </a:xfrm>
                  <a:prstGeom prst="rect">
                    <a:avLst/>
                  </a:prstGeom>
                  <a:ln w="12700" cap="flat">
                    <a:noFill/>
                    <a:miter lim="400000"/>
                  </a:ln>
                  <a:effectLst/>
                </pic:spPr>
              </pic:pic>
            </a:graphicData>
          </a:graphic>
        </wp:anchor>
      </w:drawing>
    </w:r>
    <w:r w:rsidR="005F2229">
      <w:rPr>
        <w:noProof/>
        <w:lang w:val="es-ES"/>
      </w:rPr>
      <mc:AlternateContent>
        <mc:Choice Requires="wps">
          <w:drawing>
            <wp:anchor distT="152400" distB="152400" distL="152400" distR="152400" simplePos="0" relativeHeight="251658240" behindDoc="1" locked="0" layoutInCell="1" allowOverlap="1">
              <wp:simplePos x="0" y="0"/>
              <wp:positionH relativeFrom="page">
                <wp:posOffset>3625850</wp:posOffset>
              </wp:positionH>
              <wp:positionV relativeFrom="page">
                <wp:posOffset>374015</wp:posOffset>
              </wp:positionV>
              <wp:extent cx="3235960" cy="659765"/>
              <wp:effectExtent l="0" t="2540" r="0" b="4445"/>
              <wp:wrapNone/>
              <wp:docPr id="1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2A666B" w:rsidRDefault="002A666B">
                          <w:pPr>
                            <w:pStyle w:val="Cuerpo"/>
                          </w:pPr>
                          <w:r>
                            <w:rPr>
                              <w:rStyle w:val="Ninguno"/>
                              <w:rFonts w:ascii="Helvetica Neue" w:hAnsi="Helvetica Neue"/>
                              <w:b/>
                              <w:bCs/>
                              <w:color w:val="209639"/>
                              <w:sz w:val="36"/>
                              <w:szCs w:val="36"/>
                              <w:u w:color="209639"/>
                            </w:rPr>
                            <w:t>O</w:t>
                          </w:r>
                          <w:r>
                            <w:rPr>
                              <w:rStyle w:val="Ninguno"/>
                              <w:rFonts w:ascii="Helvetica Neue" w:hAnsi="Helvetica Neue"/>
                              <w:color w:val="209639"/>
                              <w:sz w:val="36"/>
                              <w:szCs w:val="36"/>
                              <w:u w:color="209639"/>
                            </w:rPr>
                            <w:t xml:space="preserve">bservatorio </w:t>
                          </w:r>
                          <w:r>
                            <w:rPr>
                              <w:rStyle w:val="Ninguno"/>
                              <w:rFonts w:ascii="Helvetica Neue" w:hAnsi="Helvetica Neue"/>
                              <w:b/>
                              <w:bCs/>
                              <w:color w:val="209639"/>
                              <w:sz w:val="36"/>
                              <w:szCs w:val="36"/>
                              <w:u w:color="209639"/>
                            </w:rPr>
                            <w:t>D</w:t>
                          </w:r>
                          <w:r>
                            <w:rPr>
                              <w:rStyle w:val="Ninguno"/>
                              <w:rFonts w:ascii="Helvetica Neue" w:hAnsi="Helvetica Neue"/>
                              <w:color w:val="209639"/>
                              <w:sz w:val="36"/>
                              <w:szCs w:val="36"/>
                              <w:u w:color="209639"/>
                            </w:rPr>
                            <w:t>el Medicamento</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285.5pt;margin-top:29.45pt;width:254.8pt;height:51.9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" filled="f" stroked="f" strokeweight="1pt">
              <v:stroke miterlimit="4"/>
              <v:textbox inset="3.6pt,,3.6pt">
                <w:txbxContent>
                  <w:p w:rsidR="002A666B" w:rsidRDefault="002A666B">
                    <w:pPr>
                      <w:pStyle w:val="Cuerpo"/>
                    </w:pPr>
                    <w:r>
                      <w:rPr>
                        <w:rStyle w:val="Ninguno"/>
                        <w:rFonts w:ascii="Helvetica Neue" w:hAnsi="Helvetica Neue"/>
                        <w:b/>
                        <w:bCs/>
                        <w:color w:val="209639"/>
                        <w:sz w:val="36"/>
                        <w:szCs w:val="36"/>
                        <w:u w:color="209639"/>
                      </w:rPr>
                      <w:t>O</w:t>
                    </w:r>
                    <w:r>
                      <w:rPr>
                        <w:rStyle w:val="Ninguno"/>
                        <w:rFonts w:ascii="Helvetica Neue" w:hAnsi="Helvetica Neue"/>
                        <w:color w:val="209639"/>
                        <w:sz w:val="36"/>
                        <w:szCs w:val="36"/>
                        <w:u w:color="209639"/>
                      </w:rPr>
                      <w:t xml:space="preserve">bservatorio </w:t>
                    </w:r>
                    <w:r>
                      <w:rPr>
                        <w:rStyle w:val="Ninguno"/>
                        <w:rFonts w:ascii="Helvetica Neue" w:hAnsi="Helvetica Neue"/>
                        <w:b/>
                        <w:bCs/>
                        <w:color w:val="209639"/>
                        <w:sz w:val="36"/>
                        <w:szCs w:val="36"/>
                        <w:u w:color="209639"/>
                      </w:rPr>
                      <w:t>D</w:t>
                    </w:r>
                    <w:r>
                      <w:rPr>
                        <w:rStyle w:val="Ninguno"/>
                        <w:rFonts w:ascii="Helvetica Neue" w:hAnsi="Helvetica Neue"/>
                        <w:color w:val="209639"/>
                        <w:sz w:val="36"/>
                        <w:szCs w:val="36"/>
                        <w:u w:color="209639"/>
                      </w:rPr>
                      <w:t>el Medicamento</w:t>
                    </w:r>
                  </w:p>
                </w:txbxContent>
              </v:textbox>
              <w10:wrap anchorx="page" anchory="page"/>
            </v:shape>
          </w:pict>
        </mc:Fallback>
      </mc:AlternateContent>
    </w:r>
    <w:r>
      <w:tab/>
    </w:r>
    <w:r>
      <w:rPr>
        <w:rStyle w:val="Ninguno"/>
        <w:rFonts w:ascii="Arial Black" w:hAnsi="Arial Black"/>
        <w:color w:val="008080"/>
        <w:sz w:val="48"/>
        <w:szCs w:val="48"/>
        <w:u w:color="0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00CB"/>
    <w:multiLevelType w:val="multilevel"/>
    <w:tmpl w:val="24FE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F3D32"/>
    <w:multiLevelType w:val="hybridMultilevel"/>
    <w:tmpl w:val="B1F6A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8929FA"/>
    <w:multiLevelType w:val="hybridMultilevel"/>
    <w:tmpl w:val="4DBA2B92"/>
    <w:numStyleLink w:val="Estiloimportado1"/>
  </w:abstractNum>
  <w:abstractNum w:abstractNumId="3" w15:restartNumberingAfterBreak="0">
    <w:nsid w:val="37445E33"/>
    <w:multiLevelType w:val="hybridMultilevel"/>
    <w:tmpl w:val="4DBA2B92"/>
    <w:styleLink w:val="Estiloimportado1"/>
    <w:lvl w:ilvl="0" w:tplc="E83AC144">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E3EC5F8">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6D217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6E4F82A">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8241718">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3EE5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1E08296">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F8E5590">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7CE2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3A632AD2"/>
    <w:multiLevelType w:val="hybridMultilevel"/>
    <w:tmpl w:val="C8AC24C4"/>
    <w:lvl w:ilvl="0" w:tplc="DA3257D4">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D51913"/>
    <w:multiLevelType w:val="hybridMultilevel"/>
    <w:tmpl w:val="F6B2A074"/>
    <w:lvl w:ilvl="0" w:tplc="DA3257D4">
      <w:numFmt w:val="bullet"/>
      <w:lvlText w:val="-"/>
      <w:lvlJc w:val="left"/>
      <w:pPr>
        <w:ind w:left="786" w:hanging="360"/>
      </w:pPr>
      <w:rPr>
        <w:rFonts w:ascii="Times New Roman" w:eastAsia="Arial Unicode MS"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4E339C"/>
    <w:multiLevelType w:val="hybridMultilevel"/>
    <w:tmpl w:val="379CB6C4"/>
    <w:lvl w:ilvl="0" w:tplc="7AC08B3E">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3F615E2"/>
    <w:multiLevelType w:val="multilevel"/>
    <w:tmpl w:val="44F0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C658AF"/>
    <w:multiLevelType w:val="hybridMultilevel"/>
    <w:tmpl w:val="E3BC3BA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7"/>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1F"/>
    <w:rsid w:val="0001121E"/>
    <w:rsid w:val="000213A2"/>
    <w:rsid w:val="00030083"/>
    <w:rsid w:val="00053EEA"/>
    <w:rsid w:val="000639F2"/>
    <w:rsid w:val="000646AF"/>
    <w:rsid w:val="000653BB"/>
    <w:rsid w:val="00087C82"/>
    <w:rsid w:val="00094A76"/>
    <w:rsid w:val="000B797D"/>
    <w:rsid w:val="000D689C"/>
    <w:rsid w:val="000E20AD"/>
    <w:rsid w:val="001004EB"/>
    <w:rsid w:val="0014043A"/>
    <w:rsid w:val="001416D2"/>
    <w:rsid w:val="00150D33"/>
    <w:rsid w:val="001614DA"/>
    <w:rsid w:val="0016192F"/>
    <w:rsid w:val="00167AED"/>
    <w:rsid w:val="001738A0"/>
    <w:rsid w:val="001A2836"/>
    <w:rsid w:val="001C2DCC"/>
    <w:rsid w:val="001C6DB7"/>
    <w:rsid w:val="001E49DF"/>
    <w:rsid w:val="001E6872"/>
    <w:rsid w:val="00215E21"/>
    <w:rsid w:val="00225624"/>
    <w:rsid w:val="00226AEB"/>
    <w:rsid w:val="0027480D"/>
    <w:rsid w:val="002A0E62"/>
    <w:rsid w:val="002A5B7E"/>
    <w:rsid w:val="002A666B"/>
    <w:rsid w:val="002B11B1"/>
    <w:rsid w:val="002B136D"/>
    <w:rsid w:val="0030322A"/>
    <w:rsid w:val="00306B17"/>
    <w:rsid w:val="003154AE"/>
    <w:rsid w:val="00331F71"/>
    <w:rsid w:val="0033618E"/>
    <w:rsid w:val="00336E06"/>
    <w:rsid w:val="00381704"/>
    <w:rsid w:val="00386218"/>
    <w:rsid w:val="003A7580"/>
    <w:rsid w:val="003B27AF"/>
    <w:rsid w:val="003D6B84"/>
    <w:rsid w:val="003E01A9"/>
    <w:rsid w:val="003F0C3E"/>
    <w:rsid w:val="003F5417"/>
    <w:rsid w:val="004406A9"/>
    <w:rsid w:val="00442AD9"/>
    <w:rsid w:val="0044341D"/>
    <w:rsid w:val="004571BD"/>
    <w:rsid w:val="0046450D"/>
    <w:rsid w:val="00465289"/>
    <w:rsid w:val="004E00BE"/>
    <w:rsid w:val="004F2508"/>
    <w:rsid w:val="0051773F"/>
    <w:rsid w:val="0053624E"/>
    <w:rsid w:val="00540582"/>
    <w:rsid w:val="00553B82"/>
    <w:rsid w:val="00564E81"/>
    <w:rsid w:val="005652D4"/>
    <w:rsid w:val="00567CD8"/>
    <w:rsid w:val="00591B80"/>
    <w:rsid w:val="005B3AC5"/>
    <w:rsid w:val="005D392F"/>
    <w:rsid w:val="005F2229"/>
    <w:rsid w:val="005F29EF"/>
    <w:rsid w:val="005F5FB8"/>
    <w:rsid w:val="006023F4"/>
    <w:rsid w:val="00620A83"/>
    <w:rsid w:val="006408F9"/>
    <w:rsid w:val="00660F50"/>
    <w:rsid w:val="00676C80"/>
    <w:rsid w:val="00680C08"/>
    <w:rsid w:val="00683A2B"/>
    <w:rsid w:val="00697246"/>
    <w:rsid w:val="006C6300"/>
    <w:rsid w:val="006D44C7"/>
    <w:rsid w:val="006F5583"/>
    <w:rsid w:val="00707A1A"/>
    <w:rsid w:val="00743B25"/>
    <w:rsid w:val="00782B49"/>
    <w:rsid w:val="00784412"/>
    <w:rsid w:val="007A3A82"/>
    <w:rsid w:val="007B0321"/>
    <w:rsid w:val="007B2B1A"/>
    <w:rsid w:val="007D6368"/>
    <w:rsid w:val="0083008B"/>
    <w:rsid w:val="00853D78"/>
    <w:rsid w:val="008541BC"/>
    <w:rsid w:val="0086748B"/>
    <w:rsid w:val="00880601"/>
    <w:rsid w:val="00883041"/>
    <w:rsid w:val="00892664"/>
    <w:rsid w:val="008A471D"/>
    <w:rsid w:val="008D7249"/>
    <w:rsid w:val="008F01C8"/>
    <w:rsid w:val="0097317E"/>
    <w:rsid w:val="00992192"/>
    <w:rsid w:val="009A445A"/>
    <w:rsid w:val="009C5E5E"/>
    <w:rsid w:val="00A027FC"/>
    <w:rsid w:val="00A05AB7"/>
    <w:rsid w:val="00A249E5"/>
    <w:rsid w:val="00A27754"/>
    <w:rsid w:val="00A35BB7"/>
    <w:rsid w:val="00A51252"/>
    <w:rsid w:val="00A54372"/>
    <w:rsid w:val="00A85431"/>
    <w:rsid w:val="00A90485"/>
    <w:rsid w:val="00AA5A22"/>
    <w:rsid w:val="00AB55E3"/>
    <w:rsid w:val="00AE0060"/>
    <w:rsid w:val="00B102D5"/>
    <w:rsid w:val="00B1108C"/>
    <w:rsid w:val="00B35F18"/>
    <w:rsid w:val="00B373F4"/>
    <w:rsid w:val="00B77A1D"/>
    <w:rsid w:val="00B83FE3"/>
    <w:rsid w:val="00B84030"/>
    <w:rsid w:val="00BC05ED"/>
    <w:rsid w:val="00BD5834"/>
    <w:rsid w:val="00BE58B9"/>
    <w:rsid w:val="00C15D20"/>
    <w:rsid w:val="00C20DA9"/>
    <w:rsid w:val="00C458E0"/>
    <w:rsid w:val="00C45BD6"/>
    <w:rsid w:val="00C9037B"/>
    <w:rsid w:val="00C93BC7"/>
    <w:rsid w:val="00CA01E2"/>
    <w:rsid w:val="00CB3023"/>
    <w:rsid w:val="00CB72CB"/>
    <w:rsid w:val="00CD3ACF"/>
    <w:rsid w:val="00CD49BD"/>
    <w:rsid w:val="00CF3C56"/>
    <w:rsid w:val="00D12DF5"/>
    <w:rsid w:val="00D22941"/>
    <w:rsid w:val="00D40627"/>
    <w:rsid w:val="00D46A9B"/>
    <w:rsid w:val="00D672F9"/>
    <w:rsid w:val="00D751A3"/>
    <w:rsid w:val="00DB6AF3"/>
    <w:rsid w:val="00DB7AC4"/>
    <w:rsid w:val="00DD12F2"/>
    <w:rsid w:val="00DF1A26"/>
    <w:rsid w:val="00DF6AA2"/>
    <w:rsid w:val="00E0030D"/>
    <w:rsid w:val="00E0551F"/>
    <w:rsid w:val="00E13A3C"/>
    <w:rsid w:val="00E160B3"/>
    <w:rsid w:val="00E229F4"/>
    <w:rsid w:val="00E61D1F"/>
    <w:rsid w:val="00E7447F"/>
    <w:rsid w:val="00E965B2"/>
    <w:rsid w:val="00EB2696"/>
    <w:rsid w:val="00EB4AEE"/>
    <w:rsid w:val="00EE2664"/>
    <w:rsid w:val="00EF54F6"/>
    <w:rsid w:val="00EF7C62"/>
    <w:rsid w:val="00F21705"/>
    <w:rsid w:val="00F329DE"/>
    <w:rsid w:val="00F33586"/>
    <w:rsid w:val="00F764A6"/>
    <w:rsid w:val="00FA1266"/>
    <w:rsid w:val="00FB3C9E"/>
    <w:rsid w:val="00FC11A4"/>
    <w:rsid w:val="00FD4CBE"/>
    <w:rsid w:val="00FF01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1A21E0-1CB7-4C23-8164-B6C49416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Ttulo1">
    <w:name w:val="heading 1"/>
    <w:next w:val="Cuerpo"/>
    <w:pPr>
      <w:keepNext/>
      <w:keepLines/>
      <w:spacing w:before="240"/>
      <w:outlineLvl w:val="0"/>
    </w:pPr>
    <w:rPr>
      <w:rFonts w:ascii="Helvetica Neue" w:hAnsi="Helvetica Neue" w:cs="Arial Unicode MS"/>
      <w:b/>
      <w:bCs/>
      <w:color w:val="209639"/>
      <w:sz w:val="32"/>
      <w:szCs w:val="32"/>
      <w:u w:color="209639"/>
      <w:lang w:val="en-US"/>
    </w:rPr>
  </w:style>
  <w:style w:type="paragraph" w:styleId="Ttulo2">
    <w:name w:val="heading 2"/>
    <w:next w:val="Cuerpo"/>
    <w:pPr>
      <w:keepNext/>
      <w:keepLines/>
      <w:spacing w:before="40"/>
      <w:outlineLvl w:val="1"/>
    </w:pPr>
    <w:rPr>
      <w:rFonts w:ascii="Helvetica Neue" w:hAnsi="Helvetica Neue" w:cs="Arial Unicode MS"/>
      <w:b/>
      <w:bCs/>
      <w:color w:val="209639"/>
      <w:sz w:val="26"/>
      <w:szCs w:val="26"/>
      <w:u w:color="20963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Arial" w:hAnsi="Arial" w:cs="Arial Unicode MS"/>
      <w:color w:val="000000"/>
      <w:sz w:val="24"/>
      <w:szCs w:val="24"/>
      <w:u w:color="000000"/>
      <w:lang w:val="es-ES_tradnl"/>
    </w:rPr>
  </w:style>
  <w:style w:type="character" w:customStyle="1" w:styleId="Ninguno">
    <w:name w:val="Ninguno"/>
    <w:rPr>
      <w:lang w:val="es-ES_tradnl"/>
    </w:rPr>
  </w:style>
  <w:style w:type="paragraph" w:customStyle="1" w:styleId="Cuerpo">
    <w:name w:val="Cuerpo"/>
    <w:rPr>
      <w:rFonts w:cs="Arial Unicode MS"/>
      <w:color w:val="000000"/>
      <w:sz w:val="24"/>
      <w:szCs w:val="24"/>
      <w:u w:color="000000"/>
      <w:lang w:val="es-ES_tradnl"/>
    </w:rPr>
  </w:style>
  <w:style w:type="paragraph" w:styleId="Piedepgina">
    <w:name w:val="footer"/>
    <w:pPr>
      <w:tabs>
        <w:tab w:val="center" w:pos="4419"/>
        <w:tab w:val="right" w:pos="8838"/>
      </w:tabs>
    </w:pPr>
    <w:rPr>
      <w:rFonts w:ascii="Arial" w:hAnsi="Arial" w:cs="Arial Unicode MS"/>
      <w:color w:val="000000"/>
      <w:sz w:val="24"/>
      <w:szCs w:val="24"/>
      <w:u w:color="000000"/>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customStyle="1" w:styleId="CuerpoA">
    <w:name w:val="Cuerpo A"/>
    <w:rPr>
      <w:rFonts w:ascii="Arial" w:eastAsia="Arial" w:hAnsi="Arial" w:cs="Arial"/>
      <w:color w:val="000000"/>
      <w:sz w:val="24"/>
      <w:szCs w:val="24"/>
      <w:u w:color="000000"/>
      <w:lang w:val="es-ES_tradnl"/>
    </w:rPr>
  </w:style>
  <w:style w:type="paragraph" w:customStyle="1" w:styleId="Titulo">
    <w:name w:val="Titulo"/>
    <w:pPr>
      <w:keepNext/>
      <w:keepLines/>
      <w:spacing w:before="240"/>
      <w:jc w:val="center"/>
      <w:outlineLvl w:val="0"/>
    </w:pPr>
    <w:rPr>
      <w:rFonts w:ascii="Helvetica Neue" w:hAnsi="Helvetica Neue" w:cs="Arial Unicode MS"/>
      <w:color w:val="595959"/>
      <w:sz w:val="52"/>
      <w:szCs w:val="52"/>
      <w:u w:color="008080"/>
      <w:lang w:val="en-US"/>
    </w:rPr>
  </w:style>
  <w:style w:type="character" w:customStyle="1" w:styleId="NingunoA">
    <w:name w:val="Ninguno A"/>
    <w:basedOn w:val="Ninguno"/>
    <w:rPr>
      <w:lang w:val="es-ES_tradnl"/>
    </w:rPr>
  </w:style>
  <w:style w:type="paragraph" w:styleId="Prrafodelista">
    <w:name w:val="List Paragraph"/>
    <w:pPr>
      <w:ind w:left="720"/>
    </w:pPr>
    <w:rPr>
      <w:rFonts w:cs="Arial Unicode MS"/>
      <w:color w:val="000000"/>
      <w:sz w:val="24"/>
      <w:szCs w:val="24"/>
      <w:u w:color="000000"/>
      <w:lang w:val="en-US"/>
    </w:rPr>
  </w:style>
  <w:style w:type="numbering" w:customStyle="1" w:styleId="Estiloimportado1">
    <w:name w:val="Estilo importado 1"/>
    <w:pPr>
      <w:numPr>
        <w:numId w:val="1"/>
      </w:numPr>
    </w:pPr>
  </w:style>
  <w:style w:type="paragraph" w:styleId="NormalWeb">
    <w:name w:val="Normal (Web)"/>
    <w:pPr>
      <w:spacing w:before="100" w:after="100"/>
    </w:pPr>
    <w:rPr>
      <w:rFonts w:cs="Arial Unicode MS"/>
      <w:color w:val="000000"/>
      <w:sz w:val="24"/>
      <w:szCs w:val="24"/>
      <w:u w:color="000000"/>
      <w:lang w:val="es-ES_tradnl"/>
    </w:rPr>
  </w:style>
  <w:style w:type="paragraph" w:styleId="Textonotapie">
    <w:name w:val="footnote text"/>
    <w:rPr>
      <w:rFonts w:eastAsia="Times New Roman"/>
      <w:color w:val="000000"/>
      <w:u w:color="000000"/>
      <w:lang w:val="en-US"/>
    </w:rPr>
  </w:style>
  <w:style w:type="paragraph" w:customStyle="1" w:styleId="selectionshareable">
    <w:name w:val="selectionshareable"/>
    <w:pPr>
      <w:spacing w:before="100" w:after="100"/>
    </w:pPr>
    <w:rPr>
      <w:rFonts w:cs="Arial Unicode MS"/>
      <w:color w:val="000000"/>
      <w:sz w:val="24"/>
      <w:szCs w:val="24"/>
      <w:u w:color="000000"/>
      <w:lang w:val="es-ES_tradnl"/>
    </w:rPr>
  </w:style>
  <w:style w:type="paragraph" w:styleId="Textodeglobo">
    <w:name w:val="Balloon Text"/>
    <w:basedOn w:val="Normal"/>
    <w:link w:val="TextodegloboCar"/>
    <w:uiPriority w:val="99"/>
    <w:semiHidden/>
    <w:unhideWhenUsed/>
    <w:rsid w:val="0016192F"/>
    <w:rPr>
      <w:rFonts w:ascii="Tahoma" w:hAnsi="Tahoma" w:cs="Tahoma"/>
      <w:sz w:val="16"/>
      <w:szCs w:val="16"/>
    </w:rPr>
  </w:style>
  <w:style w:type="character" w:customStyle="1" w:styleId="TextodegloboCar">
    <w:name w:val="Texto de globo Car"/>
    <w:basedOn w:val="Fuentedeprrafopredeter"/>
    <w:link w:val="Textodeglobo"/>
    <w:uiPriority w:val="99"/>
    <w:semiHidden/>
    <w:rsid w:val="0016192F"/>
    <w:rPr>
      <w:rFonts w:ascii="Tahoma" w:hAnsi="Tahoma" w:cs="Tahoma"/>
      <w:sz w:val="16"/>
      <w:szCs w:val="16"/>
      <w:lang w:val="en-US" w:eastAsia="en-US"/>
    </w:rPr>
  </w:style>
  <w:style w:type="table" w:styleId="Sombreadomedio1-nfasis3">
    <w:name w:val="Medium Shading 1 Accent 3"/>
    <w:basedOn w:val="Tablanormal"/>
    <w:uiPriority w:val="63"/>
    <w:rsid w:val="00C458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nfasis">
    <w:name w:val="Emphasis"/>
    <w:basedOn w:val="Fuentedeprrafopredeter"/>
    <w:uiPriority w:val="20"/>
    <w:qFormat/>
    <w:rsid w:val="00C458E0"/>
    <w:rPr>
      <w:i/>
      <w:iCs/>
    </w:rPr>
  </w:style>
  <w:style w:type="paragraph" w:customStyle="1" w:styleId="Default">
    <w:name w:val="Default"/>
    <w:rsid w:val="00A027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table" w:styleId="Cuadrculamedia3-nfasis3">
    <w:name w:val="Medium Grid 3 Accent 3"/>
    <w:basedOn w:val="Tablanormal"/>
    <w:uiPriority w:val="69"/>
    <w:rsid w:val="001C6DB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Refdenotaalpie">
    <w:name w:val="footnote reference"/>
    <w:basedOn w:val="Fuentedeprrafopredeter"/>
    <w:uiPriority w:val="99"/>
    <w:semiHidden/>
    <w:unhideWhenUsed/>
    <w:rsid w:val="007B2B1A"/>
    <w:rPr>
      <w:vertAlign w:val="superscript"/>
    </w:rPr>
  </w:style>
  <w:style w:type="table" w:styleId="Sombreadoclaro-nfasis3">
    <w:name w:val="Light Shading Accent 3"/>
    <w:basedOn w:val="Tablanormal"/>
    <w:uiPriority w:val="60"/>
    <w:rsid w:val="00FC11A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2-nfasis3">
    <w:name w:val="Medium Grid 2 Accent 3"/>
    <w:basedOn w:val="Tablanormal"/>
    <w:uiPriority w:val="68"/>
    <w:rsid w:val="00CD49B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ablaconcuadrcula">
    <w:name w:val="Table Grid"/>
    <w:basedOn w:val="Tablanormal"/>
    <w:uiPriority w:val="59"/>
    <w:rsid w:val="0051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6C63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6C630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6C63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3">
    <w:name w:val="Light Grid Accent 3"/>
    <w:basedOn w:val="Tablanormal"/>
    <w:uiPriority w:val="62"/>
    <w:rsid w:val="00F3358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14311">
      <w:bodyDiv w:val="1"/>
      <w:marLeft w:val="0"/>
      <w:marRight w:val="0"/>
      <w:marTop w:val="0"/>
      <w:marBottom w:val="0"/>
      <w:divBdr>
        <w:top w:val="none" w:sz="0" w:space="0" w:color="auto"/>
        <w:left w:val="none" w:sz="0" w:space="0" w:color="auto"/>
        <w:bottom w:val="none" w:sz="0" w:space="0" w:color="auto"/>
        <w:right w:val="none" w:sz="0" w:space="0" w:color="auto"/>
      </w:divBdr>
    </w:div>
    <w:div w:id="889151401">
      <w:bodyDiv w:val="1"/>
      <w:marLeft w:val="0"/>
      <w:marRight w:val="0"/>
      <w:marTop w:val="0"/>
      <w:marBottom w:val="0"/>
      <w:divBdr>
        <w:top w:val="none" w:sz="0" w:space="0" w:color="auto"/>
        <w:left w:val="none" w:sz="0" w:space="0" w:color="auto"/>
        <w:bottom w:val="none" w:sz="0" w:space="0" w:color="auto"/>
        <w:right w:val="none" w:sz="0" w:space="0" w:color="auto"/>
      </w:divBdr>
    </w:div>
    <w:div w:id="905191194">
      <w:bodyDiv w:val="1"/>
      <w:marLeft w:val="0"/>
      <w:marRight w:val="0"/>
      <w:marTop w:val="0"/>
      <w:marBottom w:val="0"/>
      <w:divBdr>
        <w:top w:val="none" w:sz="0" w:space="0" w:color="auto"/>
        <w:left w:val="none" w:sz="0" w:space="0" w:color="auto"/>
        <w:bottom w:val="none" w:sz="0" w:space="0" w:color="auto"/>
        <w:right w:val="none" w:sz="0" w:space="0" w:color="auto"/>
      </w:divBdr>
    </w:div>
    <w:div w:id="1022823117">
      <w:bodyDiv w:val="1"/>
      <w:marLeft w:val="0"/>
      <w:marRight w:val="0"/>
      <w:marTop w:val="0"/>
      <w:marBottom w:val="0"/>
      <w:divBdr>
        <w:top w:val="none" w:sz="0" w:space="0" w:color="auto"/>
        <w:left w:val="none" w:sz="0" w:space="0" w:color="auto"/>
        <w:bottom w:val="none" w:sz="0" w:space="0" w:color="auto"/>
        <w:right w:val="none" w:sz="0" w:space="0" w:color="auto"/>
      </w:divBdr>
    </w:div>
    <w:div w:id="1057583167">
      <w:bodyDiv w:val="1"/>
      <w:marLeft w:val="0"/>
      <w:marRight w:val="0"/>
      <w:marTop w:val="0"/>
      <w:marBottom w:val="0"/>
      <w:divBdr>
        <w:top w:val="none" w:sz="0" w:space="0" w:color="auto"/>
        <w:left w:val="none" w:sz="0" w:space="0" w:color="auto"/>
        <w:bottom w:val="none" w:sz="0" w:space="0" w:color="auto"/>
        <w:right w:val="none" w:sz="0" w:space="0" w:color="auto"/>
      </w:divBdr>
    </w:div>
    <w:div w:id="1521428113">
      <w:bodyDiv w:val="1"/>
      <w:marLeft w:val="0"/>
      <w:marRight w:val="0"/>
      <w:marTop w:val="0"/>
      <w:marBottom w:val="0"/>
      <w:divBdr>
        <w:top w:val="none" w:sz="0" w:space="0" w:color="auto"/>
        <w:left w:val="none" w:sz="0" w:space="0" w:color="auto"/>
        <w:bottom w:val="none" w:sz="0" w:space="0" w:color="auto"/>
        <w:right w:val="none" w:sz="0" w:space="0" w:color="auto"/>
      </w:divBdr>
    </w:div>
    <w:div w:id="1659192524">
      <w:bodyDiv w:val="1"/>
      <w:marLeft w:val="0"/>
      <w:marRight w:val="0"/>
      <w:marTop w:val="0"/>
      <w:marBottom w:val="0"/>
      <w:divBdr>
        <w:top w:val="none" w:sz="0" w:space="0" w:color="auto"/>
        <w:left w:val="none" w:sz="0" w:space="0" w:color="auto"/>
        <w:bottom w:val="none" w:sz="0" w:space="0" w:color="auto"/>
        <w:right w:val="none" w:sz="0" w:space="0" w:color="auto"/>
      </w:divBdr>
    </w:div>
    <w:div w:id="2097900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Enrique\Downloads\Adjunt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rique\Downloads\Adjun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plotArea>
      <c:layout/>
      <c:barChart>
        <c:barDir val="col"/>
        <c:grouping val="clustered"/>
        <c:varyColors val="0"/>
        <c:ser>
          <c:idx val="0"/>
          <c:order val="0"/>
          <c:tx>
            <c:strRef>
              <c:f>Hoja1!$P$1</c:f>
              <c:strCache>
                <c:ptCount val="1"/>
                <c:pt idx="0">
                  <c:v>Propietarios por farmacia</c:v>
                </c:pt>
              </c:strCache>
            </c:strRef>
          </c:tx>
          <c:invertIfNegative val="0"/>
          <c:dLbls>
            <c:spPr>
              <a:solidFill>
                <a:schemeClr val="bg1"/>
              </a:solidFill>
            </c:spPr>
            <c:txPr>
              <a:bodyPr/>
              <a:lstStyle/>
              <a:p>
                <a:pPr>
                  <a:defRPr sz="500" baseline="0"/>
                </a:pPr>
                <a:endParaRPr lang="es-E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Hoja1!$O$2:$O$20</c:f>
              <c:strCache>
                <c:ptCount val="19"/>
                <c:pt idx="0">
                  <c:v>Melilla</c:v>
                </c:pt>
                <c:pt idx="1">
                  <c:v>Baleares</c:v>
                </c:pt>
                <c:pt idx="2">
                  <c:v>C. Valenciana</c:v>
                </c:pt>
                <c:pt idx="3">
                  <c:v>Andalucía</c:v>
                </c:pt>
                <c:pt idx="4">
                  <c:v>Murcia</c:v>
                </c:pt>
                <c:pt idx="5">
                  <c:v>Cataluña</c:v>
                </c:pt>
                <c:pt idx="6">
                  <c:v>Madrid</c:v>
                </c:pt>
                <c:pt idx="7">
                  <c:v>Canarias</c:v>
                </c:pt>
                <c:pt idx="8">
                  <c:v>País Vasco</c:v>
                </c:pt>
                <c:pt idx="9">
                  <c:v>Galicia</c:v>
                </c:pt>
                <c:pt idx="10">
                  <c:v>Asturias</c:v>
                </c:pt>
                <c:pt idx="11">
                  <c:v>Rioja</c:v>
                </c:pt>
                <c:pt idx="12">
                  <c:v>Extremadura</c:v>
                </c:pt>
                <c:pt idx="13">
                  <c:v>Ceuta</c:v>
                </c:pt>
                <c:pt idx="14">
                  <c:v>Cantabria</c:v>
                </c:pt>
                <c:pt idx="15">
                  <c:v>Aragón</c:v>
                </c:pt>
                <c:pt idx="16">
                  <c:v>Castilla y León</c:v>
                </c:pt>
                <c:pt idx="17">
                  <c:v>Castilla La Mancha</c:v>
                </c:pt>
                <c:pt idx="18">
                  <c:v>Navarra</c:v>
                </c:pt>
              </c:strCache>
            </c:strRef>
          </c:cat>
          <c:val>
            <c:numRef>
              <c:f>Hoja1!$P$2:$P$20</c:f>
              <c:numCache>
                <c:formatCode>0.00</c:formatCode>
                <c:ptCount val="19"/>
                <c:pt idx="0">
                  <c:v>1.2727272727272727</c:v>
                </c:pt>
                <c:pt idx="1">
                  <c:v>1.2191780821917808</c:v>
                </c:pt>
                <c:pt idx="2">
                  <c:v>1.2120441051738762</c:v>
                </c:pt>
                <c:pt idx="3">
                  <c:v>1.2024239298607529</c:v>
                </c:pt>
                <c:pt idx="4">
                  <c:v>1.181338028169014</c:v>
                </c:pt>
                <c:pt idx="5">
                  <c:v>1.1170212765957446</c:v>
                </c:pt>
                <c:pt idx="6">
                  <c:v>1.1104508912967495</c:v>
                </c:pt>
                <c:pt idx="7">
                  <c:v>1.1062992125984252</c:v>
                </c:pt>
                <c:pt idx="8">
                  <c:v>1.1057692307692308</c:v>
                </c:pt>
                <c:pt idx="9">
                  <c:v>1.1056547619047619</c:v>
                </c:pt>
                <c:pt idx="10">
                  <c:v>1.0967032967032968</c:v>
                </c:pt>
                <c:pt idx="11">
                  <c:v>1.0961538461538463</c:v>
                </c:pt>
                <c:pt idx="12">
                  <c:v>1.0834575260804769</c:v>
                </c:pt>
                <c:pt idx="13">
                  <c:v>1.0833333333333333</c:v>
                </c:pt>
                <c:pt idx="14">
                  <c:v>1.0711462450592886</c:v>
                </c:pt>
                <c:pt idx="15">
                  <c:v>1.069482288828338</c:v>
                </c:pt>
                <c:pt idx="16">
                  <c:v>1.0614250614250613</c:v>
                </c:pt>
                <c:pt idx="17">
                  <c:v>1.0569169960474307</c:v>
                </c:pt>
                <c:pt idx="18">
                  <c:v>1</c:v>
                </c:pt>
              </c:numCache>
            </c:numRef>
          </c:val>
          <c:extLst>
            <c:ext xmlns:c16="http://schemas.microsoft.com/office/drawing/2014/chart" uri="{C3380CC4-5D6E-409C-BE32-E72D297353CC}">
              <c16:uniqueId val="{00000000-4748-4AED-B7D9-D7C78788CA1C}"/>
            </c:ext>
          </c:extLst>
        </c:ser>
        <c:dLbls>
          <c:showLegendKey val="0"/>
          <c:showVal val="0"/>
          <c:showCatName val="0"/>
          <c:showSerName val="0"/>
          <c:showPercent val="0"/>
          <c:showBubbleSize val="0"/>
        </c:dLbls>
        <c:gapWidth val="70"/>
        <c:axId val="179303936"/>
        <c:axId val="179305472"/>
      </c:barChart>
      <c:catAx>
        <c:axId val="179303936"/>
        <c:scaling>
          <c:orientation val="minMax"/>
        </c:scaling>
        <c:delete val="0"/>
        <c:axPos val="b"/>
        <c:numFmt formatCode="General" sourceLinked="0"/>
        <c:majorTickMark val="out"/>
        <c:minorTickMark val="none"/>
        <c:tickLblPos val="nextTo"/>
        <c:txPr>
          <a:bodyPr rot="-5400000" vert="horz"/>
          <a:lstStyle/>
          <a:p>
            <a:pPr>
              <a:defRPr/>
            </a:pPr>
            <a:endParaRPr lang="es-ES"/>
          </a:p>
        </c:txPr>
        <c:crossAx val="179305472"/>
        <c:crosses val="autoZero"/>
        <c:auto val="1"/>
        <c:lblAlgn val="ctr"/>
        <c:lblOffset val="100"/>
        <c:noMultiLvlLbl val="0"/>
      </c:catAx>
      <c:valAx>
        <c:axId val="179305472"/>
        <c:scaling>
          <c:orientation val="minMax"/>
        </c:scaling>
        <c:delete val="0"/>
        <c:axPos val="l"/>
        <c:majorGridlines/>
        <c:numFmt formatCode="0.00" sourceLinked="1"/>
        <c:majorTickMark val="out"/>
        <c:minorTickMark val="none"/>
        <c:tickLblPos val="nextTo"/>
        <c:crossAx val="179303936"/>
        <c:crosses val="autoZero"/>
        <c:crossBetween val="between"/>
      </c:valAx>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000"/>
              <a:t>Farmacéuticos contratados:Regentes, Sustitutos</a:t>
            </a:r>
            <a:r>
              <a:rPr lang="es-ES" sz="1000" baseline="0"/>
              <a:t>, Adjuntos, otros.</a:t>
            </a:r>
            <a:endParaRPr lang="es-ES" sz="1000"/>
          </a:p>
        </c:rich>
      </c:tx>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plotArea>
      <c:layout/>
      <c:barChart>
        <c:barDir val="col"/>
        <c:grouping val="clustered"/>
        <c:varyColors val="0"/>
        <c:ser>
          <c:idx val="0"/>
          <c:order val="0"/>
          <c:tx>
            <c:strRef>
              <c:f>Hoja1!$F$26</c:f>
              <c:strCache>
                <c:ptCount val="1"/>
                <c:pt idx="0">
                  <c:v>Farmacéuticos contratados</c:v>
                </c:pt>
              </c:strCache>
            </c:strRef>
          </c:tx>
          <c:invertIfNegative val="0"/>
          <c:cat>
            <c:strRef>
              <c:f>Hoja1!$A$27:$A$45</c:f>
              <c:strCache>
                <c:ptCount val="19"/>
                <c:pt idx="0">
                  <c:v>País Vasco</c:v>
                </c:pt>
                <c:pt idx="1">
                  <c:v>Madrid</c:v>
                </c:pt>
                <c:pt idx="2">
                  <c:v>Canarias</c:v>
                </c:pt>
                <c:pt idx="3">
                  <c:v>Galicia</c:v>
                </c:pt>
                <c:pt idx="4">
                  <c:v>Melilla</c:v>
                </c:pt>
                <c:pt idx="5">
                  <c:v>Murcia</c:v>
                </c:pt>
                <c:pt idx="6">
                  <c:v>Ceuta</c:v>
                </c:pt>
                <c:pt idx="7">
                  <c:v>Asturias</c:v>
                </c:pt>
                <c:pt idx="8">
                  <c:v>Cataluña</c:v>
                </c:pt>
                <c:pt idx="9">
                  <c:v>Andalucía</c:v>
                </c:pt>
                <c:pt idx="10">
                  <c:v>Cantabria</c:v>
                </c:pt>
                <c:pt idx="11">
                  <c:v>Rioja</c:v>
                </c:pt>
                <c:pt idx="12">
                  <c:v>C. Valenciana</c:v>
                </c:pt>
                <c:pt idx="13">
                  <c:v>Baleares</c:v>
                </c:pt>
                <c:pt idx="14">
                  <c:v>Navarra</c:v>
                </c:pt>
                <c:pt idx="15">
                  <c:v>Castilla y León</c:v>
                </c:pt>
                <c:pt idx="16">
                  <c:v>Aragón</c:v>
                </c:pt>
                <c:pt idx="17">
                  <c:v>Castilla La Mancha</c:v>
                </c:pt>
                <c:pt idx="18">
                  <c:v>Extremadura</c:v>
                </c:pt>
              </c:strCache>
            </c:strRef>
          </c:cat>
          <c:val>
            <c:numRef>
              <c:f>Hoja1!$F$27:$F$45</c:f>
              <c:numCache>
                <c:formatCode>0.00</c:formatCode>
                <c:ptCount val="19"/>
                <c:pt idx="0">
                  <c:v>1.8858173076923077</c:v>
                </c:pt>
                <c:pt idx="1">
                  <c:v>1.7878364208318769</c:v>
                </c:pt>
                <c:pt idx="2">
                  <c:v>1.7480314960629921</c:v>
                </c:pt>
                <c:pt idx="3">
                  <c:v>1.5840773809523809</c:v>
                </c:pt>
                <c:pt idx="4">
                  <c:v>1.4545454545454546</c:v>
                </c:pt>
                <c:pt idx="5">
                  <c:v>1.3433098591549295</c:v>
                </c:pt>
                <c:pt idx="6">
                  <c:v>1.25</c:v>
                </c:pt>
                <c:pt idx="7">
                  <c:v>1.2417582417582418</c:v>
                </c:pt>
                <c:pt idx="8">
                  <c:v>1.1361076345431789</c:v>
                </c:pt>
                <c:pt idx="9">
                  <c:v>1.1015987622485817</c:v>
                </c:pt>
                <c:pt idx="10">
                  <c:v>1.0671936758893281</c:v>
                </c:pt>
                <c:pt idx="11">
                  <c:v>0.97435897435897434</c:v>
                </c:pt>
                <c:pt idx="12">
                  <c:v>0.93681085665818487</c:v>
                </c:pt>
                <c:pt idx="13">
                  <c:v>0.80136986301369861</c:v>
                </c:pt>
                <c:pt idx="14">
                  <c:v>0.77371048252911812</c:v>
                </c:pt>
                <c:pt idx="15">
                  <c:v>0.7401719901719902</c:v>
                </c:pt>
                <c:pt idx="16">
                  <c:v>0.65531335149863756</c:v>
                </c:pt>
                <c:pt idx="17">
                  <c:v>0.61264822134387353</c:v>
                </c:pt>
                <c:pt idx="18">
                  <c:v>0.51117734724292097</c:v>
                </c:pt>
              </c:numCache>
            </c:numRef>
          </c:val>
          <c:extLst>
            <c:ext xmlns:c16="http://schemas.microsoft.com/office/drawing/2014/chart" uri="{C3380CC4-5D6E-409C-BE32-E72D297353CC}">
              <c16:uniqueId val="{00000000-3BF5-4C53-BA0A-0F1834BB867D}"/>
            </c:ext>
          </c:extLst>
        </c:ser>
        <c:dLbls>
          <c:showLegendKey val="0"/>
          <c:showVal val="0"/>
          <c:showCatName val="0"/>
          <c:showSerName val="0"/>
          <c:showPercent val="0"/>
          <c:showBubbleSize val="0"/>
        </c:dLbls>
        <c:gapWidth val="28"/>
        <c:overlap val="-22"/>
        <c:axId val="137211904"/>
        <c:axId val="137213440"/>
      </c:barChart>
      <c:catAx>
        <c:axId val="137211904"/>
        <c:scaling>
          <c:orientation val="minMax"/>
        </c:scaling>
        <c:delete val="0"/>
        <c:axPos val="b"/>
        <c:numFmt formatCode="General" sourceLinked="0"/>
        <c:majorTickMark val="out"/>
        <c:minorTickMark val="none"/>
        <c:tickLblPos val="nextTo"/>
        <c:txPr>
          <a:bodyPr rot="-5400000" vert="horz"/>
          <a:lstStyle/>
          <a:p>
            <a:pPr>
              <a:defRPr/>
            </a:pPr>
            <a:endParaRPr lang="es-ES"/>
          </a:p>
        </c:txPr>
        <c:crossAx val="137213440"/>
        <c:crosses val="autoZero"/>
        <c:auto val="1"/>
        <c:lblAlgn val="ctr"/>
        <c:lblOffset val="100"/>
        <c:noMultiLvlLbl val="0"/>
      </c:catAx>
      <c:valAx>
        <c:axId val="137213440"/>
        <c:scaling>
          <c:orientation val="minMax"/>
        </c:scaling>
        <c:delete val="0"/>
        <c:axPos val="l"/>
        <c:majorGridlines/>
        <c:numFmt formatCode="0.00" sourceLinked="1"/>
        <c:majorTickMark val="out"/>
        <c:minorTickMark val="none"/>
        <c:tickLblPos val="nextTo"/>
        <c:crossAx val="137211904"/>
        <c:crosses val="autoZero"/>
        <c:crossBetween val="between"/>
      </c:valAx>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8E55-A235-4358-821C-510EE47A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2532</Words>
  <Characters>13927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Jesús Monroy</cp:lastModifiedBy>
  <cp:revision>2</cp:revision>
  <cp:lastPrinted>2018-12-07T11:13:00Z</cp:lastPrinted>
  <dcterms:created xsi:type="dcterms:W3CDTF">2019-03-12T09:36:00Z</dcterms:created>
  <dcterms:modified xsi:type="dcterms:W3CDTF">2019-03-12T09:36:00Z</dcterms:modified>
</cp:coreProperties>
</file>